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686CC" w14:textId="77777777" w:rsidR="00F52F80" w:rsidRPr="002D6B0E" w:rsidRDefault="00F52F80" w:rsidP="00F52F80">
      <w:pPr>
        <w:numPr>
          <w:ilvl w:val="0"/>
          <w:numId w:val="8"/>
        </w:numPr>
        <w:ind w:left="709" w:firstLine="0"/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AMAÇ</w:t>
      </w:r>
    </w:p>
    <w:p w14:paraId="105E3680" w14:textId="77777777" w:rsidR="00F52F80" w:rsidRPr="002D6B0E" w:rsidRDefault="00F52F80" w:rsidP="00F52F80">
      <w:pPr>
        <w:ind w:left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Bu prosedürün amacı, </w:t>
      </w:r>
      <w:r w:rsidR="003350B4"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="003350B4" w:rsidRPr="002D6B0E">
        <w:rPr>
          <w:sz w:val="22"/>
          <w:szCs w:val="22"/>
        </w:rPr>
        <w:t xml:space="preserve"> bünyesinde hazırlanan ve uygulanan</w:t>
      </w:r>
      <w:r w:rsidR="00F81232" w:rsidRPr="002D6B0E">
        <w:rPr>
          <w:sz w:val="22"/>
          <w:szCs w:val="22"/>
        </w:rPr>
        <w:t xml:space="preserve"> </w:t>
      </w:r>
      <w:hyperlink r:id="rId8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2 Transfer of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Accredited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of Management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Systems</w:t>
        </w:r>
        <w:proofErr w:type="spellEnd"/>
      </w:hyperlink>
      <w:r w:rsidR="00F81232" w:rsidRPr="002D6B0E">
        <w:rPr>
          <w:sz w:val="22"/>
          <w:szCs w:val="22"/>
        </w:rPr>
        <w:t xml:space="preserve"> (IAF MD 2  Yönetim Sistemlerinin Akredite Sertifikasyonunun Transferi</w:t>
      </w:r>
      <w:r w:rsidR="00F81232" w:rsidRPr="002D6B0E">
        <w:rPr>
          <w:shd w:val="clear" w:color="auto" w:fill="FFFFFF"/>
        </w:rPr>
        <w:t xml:space="preserve"> )</w:t>
      </w:r>
      <w:r w:rsidR="00F81232" w:rsidRPr="002D6B0E">
        <w:rPr>
          <w:rStyle w:val="Kpr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F81232" w:rsidRPr="002D6B0E">
        <w:rPr>
          <w:sz w:val="22"/>
          <w:szCs w:val="22"/>
        </w:rPr>
        <w:t>/</w:t>
      </w:r>
      <w:hyperlink r:id="rId9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3  Advanced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Surveillance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and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Recertification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Procedures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(ASRP)</w:t>
        </w:r>
      </w:hyperlink>
      <w:r w:rsidR="00F81232" w:rsidRPr="002D6B0E">
        <w:rPr>
          <w:sz w:val="22"/>
          <w:szCs w:val="22"/>
        </w:rPr>
        <w:t>( IAF MD 3 İleri Gözetim ve Yenileme Prosedürleri (ASRP) )</w:t>
      </w:r>
      <w:r w:rsidR="00F81232" w:rsidRPr="002D6B0E">
        <w:rPr>
          <w:rStyle w:val="Gl"/>
          <w:sz w:val="18"/>
          <w:szCs w:val="18"/>
          <w:shd w:val="clear" w:color="auto" w:fill="FFFFFF"/>
        </w:rPr>
        <w:t xml:space="preserve"> </w:t>
      </w:r>
      <w:r w:rsidR="00F81232" w:rsidRPr="002D6B0E">
        <w:rPr>
          <w:sz w:val="22"/>
          <w:szCs w:val="22"/>
        </w:rPr>
        <w:t xml:space="preserve">ve </w:t>
      </w:r>
      <w:r w:rsidR="003350B4" w:rsidRPr="002D6B0E">
        <w:rPr>
          <w:sz w:val="22"/>
          <w:szCs w:val="22"/>
        </w:rPr>
        <w:t xml:space="preserve">TS EN ISO/IEC 17021 </w:t>
      </w:r>
      <w:proofErr w:type="spellStart"/>
      <w:r w:rsidR="003350B4" w:rsidRPr="002D6B0E">
        <w:rPr>
          <w:sz w:val="22"/>
          <w:szCs w:val="22"/>
          <w:lang w:val="de-DE"/>
        </w:rPr>
        <w:t>Yönetim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Sistemlerinin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Tetkikini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ve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Değerlendirmesini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Sağlayan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Kuruluşlar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İçin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Şartlar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Standardı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proofErr w:type="spellStart"/>
      <w:r w:rsidR="003350B4" w:rsidRPr="002D6B0E">
        <w:rPr>
          <w:sz w:val="22"/>
          <w:szCs w:val="22"/>
          <w:lang w:val="de-DE"/>
        </w:rPr>
        <w:t>kapsamında</w:t>
      </w:r>
      <w:proofErr w:type="spellEnd"/>
      <w:r w:rsidR="003350B4" w:rsidRPr="002D6B0E">
        <w:rPr>
          <w:sz w:val="22"/>
          <w:szCs w:val="22"/>
          <w:lang w:val="de-DE"/>
        </w:rPr>
        <w:t xml:space="preserve"> </w:t>
      </w:r>
      <w:r w:rsidRPr="002D6B0E">
        <w:rPr>
          <w:sz w:val="22"/>
          <w:szCs w:val="22"/>
        </w:rPr>
        <w:t>herhangi bir belgelendirme kurumu tarafından belgelendirilmiş bir kuruluşun, belgesini</w:t>
      </w:r>
      <w:r w:rsidR="006A589E" w:rsidRPr="002D6B0E">
        <w:rPr>
          <w:sz w:val="22"/>
          <w:szCs w:val="22"/>
        </w:rPr>
        <w:t>,</w:t>
      </w:r>
      <w:r w:rsidRPr="002D6B0E">
        <w:rPr>
          <w:sz w:val="22"/>
          <w:szCs w:val="22"/>
        </w:rPr>
        <w:t xml:space="preserve"> 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>’ ne transfer (devir) etmek istemesi durumunda uygulanması gereken faaliyetlere ilişkin esasların belirlenmesidir.</w:t>
      </w:r>
    </w:p>
    <w:p w14:paraId="095D7FAE" w14:textId="77777777" w:rsidR="00F52F80" w:rsidRPr="002D6B0E" w:rsidRDefault="00F52F80" w:rsidP="00F52F80">
      <w:pPr>
        <w:ind w:left="709"/>
        <w:jc w:val="both"/>
        <w:rPr>
          <w:b/>
          <w:sz w:val="22"/>
          <w:szCs w:val="22"/>
        </w:rPr>
      </w:pPr>
    </w:p>
    <w:p w14:paraId="62F7EC02" w14:textId="77777777" w:rsidR="00F52F80" w:rsidRPr="002D6B0E" w:rsidRDefault="00F52F80" w:rsidP="00F52F80">
      <w:pPr>
        <w:numPr>
          <w:ilvl w:val="0"/>
          <w:numId w:val="8"/>
        </w:numPr>
        <w:ind w:left="709" w:firstLine="0"/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KAPSAM</w:t>
      </w:r>
    </w:p>
    <w:p w14:paraId="5C25F299" w14:textId="77777777" w:rsidR="00F52F80" w:rsidRPr="002D6B0E" w:rsidRDefault="003350B4" w:rsidP="00F52F80">
      <w:pPr>
        <w:ind w:left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 bünyesinde hazırlanan ve uygulanan </w:t>
      </w:r>
      <w:hyperlink r:id="rId10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2 Transfer of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Accredited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of Management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Systems</w:t>
        </w:r>
        <w:proofErr w:type="spellEnd"/>
      </w:hyperlink>
      <w:r w:rsidR="00F81232" w:rsidRPr="002D6B0E">
        <w:rPr>
          <w:sz w:val="22"/>
          <w:szCs w:val="22"/>
        </w:rPr>
        <w:t xml:space="preserve"> (IAF MD 2  Yönetim Sistemlerinin Akredite Sertifikasyonunun Transferi</w:t>
      </w:r>
      <w:r w:rsidR="00F81232" w:rsidRPr="002D6B0E">
        <w:rPr>
          <w:shd w:val="clear" w:color="auto" w:fill="FFFFFF"/>
        </w:rPr>
        <w:t xml:space="preserve"> )</w:t>
      </w:r>
      <w:r w:rsidR="00F81232" w:rsidRPr="002D6B0E">
        <w:rPr>
          <w:rStyle w:val="Kpr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F81232" w:rsidRPr="002D6B0E">
        <w:rPr>
          <w:sz w:val="22"/>
          <w:szCs w:val="22"/>
        </w:rPr>
        <w:t>/</w:t>
      </w:r>
      <w:hyperlink r:id="rId11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3  Advanced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Surveillance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and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Recertification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Procedures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(ASRP)</w:t>
        </w:r>
      </w:hyperlink>
      <w:r w:rsidR="00F81232" w:rsidRPr="002D6B0E">
        <w:rPr>
          <w:sz w:val="22"/>
          <w:szCs w:val="22"/>
        </w:rPr>
        <w:t>( IAF MD 3 İleri Gözetim ve Yenileme Prosedürleri (ASRP) )</w:t>
      </w:r>
      <w:r w:rsidR="00F81232" w:rsidRPr="002D6B0E">
        <w:rPr>
          <w:rStyle w:val="Gl"/>
          <w:sz w:val="18"/>
          <w:szCs w:val="18"/>
          <w:shd w:val="clear" w:color="auto" w:fill="FFFFFF"/>
        </w:rPr>
        <w:t xml:space="preserve">  ve </w:t>
      </w:r>
      <w:r w:rsidRPr="002D6B0E">
        <w:rPr>
          <w:sz w:val="22"/>
          <w:szCs w:val="22"/>
        </w:rPr>
        <w:t xml:space="preserve">TS EN ISO/IEC 17021 </w:t>
      </w:r>
      <w:proofErr w:type="spellStart"/>
      <w:r w:rsidRPr="002D6B0E">
        <w:rPr>
          <w:sz w:val="22"/>
          <w:szCs w:val="22"/>
          <w:lang w:val="de-DE"/>
        </w:rPr>
        <w:t>Yönetim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Sistemlerinin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Tetkikini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ve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Değerlendirmesini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Sağlayan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Kuruluşlar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İçin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Şartlar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Standardı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kapsamında</w:t>
      </w:r>
      <w:proofErr w:type="spellEnd"/>
      <w:r w:rsidRPr="002D6B0E">
        <w:rPr>
          <w:sz w:val="22"/>
          <w:szCs w:val="22"/>
          <w:lang w:val="de-DE"/>
        </w:rPr>
        <w:t xml:space="preserve"> b</w:t>
      </w:r>
      <w:r w:rsidR="00F52F80" w:rsidRPr="002D6B0E">
        <w:rPr>
          <w:sz w:val="22"/>
          <w:szCs w:val="22"/>
        </w:rPr>
        <w:t xml:space="preserve">u prosedür, EUROGAP </w:t>
      </w:r>
      <w:r w:rsidR="002D6B0E">
        <w:rPr>
          <w:sz w:val="22"/>
          <w:szCs w:val="22"/>
        </w:rPr>
        <w:t xml:space="preserve"> </w:t>
      </w:r>
      <w:r w:rsidR="00F52F80" w:rsidRPr="002D6B0E">
        <w:rPr>
          <w:sz w:val="22"/>
          <w:szCs w:val="22"/>
        </w:rPr>
        <w:t xml:space="preserve"> dışında bir belgelendirme kuruluşu tarafından belgelendirilmiş ve belgelerini EUROGAP </w:t>
      </w:r>
      <w:r w:rsidR="002D6B0E">
        <w:rPr>
          <w:sz w:val="22"/>
          <w:szCs w:val="22"/>
        </w:rPr>
        <w:t xml:space="preserve"> </w:t>
      </w:r>
      <w:r w:rsidR="00F52F80" w:rsidRPr="002D6B0E">
        <w:rPr>
          <w:sz w:val="22"/>
          <w:szCs w:val="22"/>
        </w:rPr>
        <w:t>’ ne transfer etmek isteyen tüm belgelendirilmiş kuruluşları kapsar.</w:t>
      </w:r>
    </w:p>
    <w:p w14:paraId="36D8CAAC" w14:textId="77777777" w:rsidR="00F52F80" w:rsidRPr="002D6B0E" w:rsidRDefault="00F52F80" w:rsidP="00F52F80">
      <w:pPr>
        <w:ind w:left="709"/>
        <w:jc w:val="both"/>
        <w:rPr>
          <w:sz w:val="22"/>
          <w:szCs w:val="22"/>
        </w:rPr>
      </w:pPr>
    </w:p>
    <w:p w14:paraId="35E40253" w14:textId="77777777" w:rsidR="00F52F80" w:rsidRPr="002D6B0E" w:rsidRDefault="00F52F80" w:rsidP="00F52F80">
      <w:pPr>
        <w:numPr>
          <w:ilvl w:val="0"/>
          <w:numId w:val="8"/>
        </w:numPr>
        <w:ind w:left="709" w:firstLine="0"/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SORUMLULUK VE YETKİLER</w:t>
      </w:r>
    </w:p>
    <w:p w14:paraId="0739FBD4" w14:textId="77777777" w:rsidR="00F52F80" w:rsidRPr="002D6B0E" w:rsidRDefault="003350B4" w:rsidP="00F52F80">
      <w:pPr>
        <w:ind w:left="709"/>
        <w:jc w:val="both"/>
        <w:rPr>
          <w:b/>
          <w:sz w:val="22"/>
          <w:szCs w:val="22"/>
        </w:rPr>
      </w:pPr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 bünyesinde hazırlanan ve uygulanan </w:t>
      </w:r>
      <w:hyperlink r:id="rId12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2 Transfer of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Accredited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of Management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Systems</w:t>
        </w:r>
        <w:proofErr w:type="spellEnd"/>
      </w:hyperlink>
      <w:r w:rsidR="00F81232" w:rsidRPr="002D6B0E">
        <w:rPr>
          <w:sz w:val="22"/>
          <w:szCs w:val="22"/>
        </w:rPr>
        <w:t xml:space="preserve"> (IAF MD 2  Yönetim Sistemlerinin Akredite Sertifikasyonunun Transferi</w:t>
      </w:r>
      <w:r w:rsidR="00F81232" w:rsidRPr="002D6B0E">
        <w:rPr>
          <w:shd w:val="clear" w:color="auto" w:fill="FFFFFF"/>
        </w:rPr>
        <w:t xml:space="preserve"> )</w:t>
      </w:r>
      <w:r w:rsidR="00F81232" w:rsidRPr="002D6B0E">
        <w:rPr>
          <w:rStyle w:val="Kpr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F81232" w:rsidRPr="002D6B0E">
        <w:rPr>
          <w:sz w:val="22"/>
          <w:szCs w:val="22"/>
        </w:rPr>
        <w:t>/</w:t>
      </w:r>
      <w:hyperlink r:id="rId13" w:history="1">
        <w:r w:rsidR="00F81232" w:rsidRPr="002D6B0E">
          <w:rPr>
            <w:rStyle w:val="Kpr"/>
            <w:color w:val="auto"/>
            <w:sz w:val="22"/>
            <w:szCs w:val="22"/>
          </w:rPr>
          <w:t xml:space="preserve">IAF MD 3  Advanced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Surveillance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and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Recertification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</w:t>
        </w:r>
        <w:proofErr w:type="spellStart"/>
        <w:r w:rsidR="00F81232" w:rsidRPr="002D6B0E">
          <w:rPr>
            <w:rStyle w:val="Kpr"/>
            <w:color w:val="auto"/>
            <w:sz w:val="22"/>
            <w:szCs w:val="22"/>
          </w:rPr>
          <w:t>Procedures</w:t>
        </w:r>
        <w:proofErr w:type="spellEnd"/>
        <w:r w:rsidR="00F81232" w:rsidRPr="002D6B0E">
          <w:rPr>
            <w:rStyle w:val="Kpr"/>
            <w:color w:val="auto"/>
            <w:sz w:val="22"/>
            <w:szCs w:val="22"/>
          </w:rPr>
          <w:t xml:space="preserve"> (ASRP)</w:t>
        </w:r>
      </w:hyperlink>
      <w:r w:rsidR="00F81232" w:rsidRPr="002D6B0E">
        <w:rPr>
          <w:sz w:val="22"/>
          <w:szCs w:val="22"/>
        </w:rPr>
        <w:t>( IAF MD 3 İleri Gözetim ve Yenileme Prosedürleri (ASRP) )</w:t>
      </w:r>
      <w:r w:rsidR="00F81232" w:rsidRPr="002D6B0E">
        <w:rPr>
          <w:rStyle w:val="Gl"/>
          <w:sz w:val="18"/>
          <w:szCs w:val="18"/>
          <w:shd w:val="clear" w:color="auto" w:fill="FFFFFF"/>
        </w:rPr>
        <w:t xml:space="preserve">  ve </w:t>
      </w:r>
      <w:r w:rsidRPr="002D6B0E">
        <w:rPr>
          <w:sz w:val="22"/>
          <w:szCs w:val="22"/>
        </w:rPr>
        <w:t xml:space="preserve">TS EN ISO/IEC 17021 </w:t>
      </w:r>
      <w:proofErr w:type="spellStart"/>
      <w:r w:rsidRPr="002D6B0E">
        <w:rPr>
          <w:sz w:val="22"/>
          <w:szCs w:val="22"/>
          <w:lang w:val="de-DE"/>
        </w:rPr>
        <w:t>Yönetim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Sistemlerinin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Tetkikini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ve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Değerlendirmesini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Sağlayan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Kuruluşlar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İçin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Şartlar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Standardı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kapsamında</w:t>
      </w:r>
      <w:proofErr w:type="spellEnd"/>
      <w:r w:rsidRPr="002D6B0E">
        <w:rPr>
          <w:sz w:val="22"/>
          <w:szCs w:val="22"/>
          <w:lang w:val="de-DE"/>
        </w:rPr>
        <w:t xml:space="preserve"> b</w:t>
      </w:r>
      <w:proofErr w:type="spellStart"/>
      <w:r w:rsidR="00F52F80" w:rsidRPr="002D6B0E">
        <w:rPr>
          <w:sz w:val="22"/>
          <w:szCs w:val="22"/>
        </w:rPr>
        <w:t>elge</w:t>
      </w:r>
      <w:proofErr w:type="spellEnd"/>
      <w:r w:rsidR="00F52F80" w:rsidRPr="002D6B0E">
        <w:rPr>
          <w:sz w:val="22"/>
          <w:szCs w:val="22"/>
        </w:rPr>
        <w:t xml:space="preserve"> transferi talebinde bulunan kuruluşlara ait ön araştırmanın yapılmasından ve kuruluşun transferinde herhangi bir sakınca olup olmadığına ilişkin ön araştırmanın yapılmasından, uygunluğunun doğrulanmasından, gerekli transfer kayıtlarının tutulmasından Belgelendirme Yöneticisi</w:t>
      </w:r>
      <w:r w:rsidR="006A589E" w:rsidRPr="002D6B0E">
        <w:rPr>
          <w:sz w:val="22"/>
          <w:szCs w:val="22"/>
        </w:rPr>
        <w:t>,</w:t>
      </w:r>
      <w:r w:rsidR="00F52F80" w:rsidRPr="002D6B0E">
        <w:rPr>
          <w:sz w:val="22"/>
          <w:szCs w:val="22"/>
        </w:rPr>
        <w:t xml:space="preserve"> sorumludur.</w:t>
      </w:r>
    </w:p>
    <w:p w14:paraId="567EA70A" w14:textId="77777777" w:rsidR="00F52F80" w:rsidRPr="002D6B0E" w:rsidRDefault="00F52F80" w:rsidP="00F52F80">
      <w:pPr>
        <w:ind w:left="709"/>
        <w:jc w:val="both"/>
        <w:rPr>
          <w:sz w:val="22"/>
          <w:szCs w:val="22"/>
        </w:rPr>
      </w:pPr>
    </w:p>
    <w:p w14:paraId="53DB1F38" w14:textId="77777777" w:rsidR="006A589E" w:rsidRPr="002D6B0E" w:rsidRDefault="00F52F80" w:rsidP="006A589E">
      <w:pPr>
        <w:numPr>
          <w:ilvl w:val="0"/>
          <w:numId w:val="8"/>
        </w:numPr>
        <w:ind w:left="709" w:firstLine="0"/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UYGULAMA</w:t>
      </w:r>
    </w:p>
    <w:p w14:paraId="18499976" w14:textId="77777777" w:rsidR="000241F2" w:rsidRPr="002D6B0E" w:rsidRDefault="000241F2" w:rsidP="000241F2">
      <w:pPr>
        <w:numPr>
          <w:ilvl w:val="1"/>
          <w:numId w:val="8"/>
        </w:numPr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Belge Transferi Kabul Şartları</w:t>
      </w:r>
    </w:p>
    <w:p w14:paraId="5A910FD8" w14:textId="77777777" w:rsidR="003350B4" w:rsidRPr="002D6B0E" w:rsidRDefault="003350B4" w:rsidP="003350B4">
      <w:pPr>
        <w:ind w:left="708"/>
        <w:jc w:val="both"/>
        <w:rPr>
          <w:sz w:val="22"/>
          <w:szCs w:val="22"/>
          <w:lang w:val="de-DE"/>
        </w:rPr>
      </w:pPr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 bünyesinde hazırlanan ve uygulanan TS EN ISO/IEC 17021 </w:t>
      </w:r>
      <w:proofErr w:type="spellStart"/>
      <w:r w:rsidRPr="002D6B0E">
        <w:rPr>
          <w:sz w:val="22"/>
          <w:szCs w:val="22"/>
          <w:lang w:val="de-DE"/>
        </w:rPr>
        <w:t>Yönetim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Sistemlerinin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Tetkikini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ve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Değerlendirmesini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Sağlayan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Kuruluşlar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İçin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Şartlar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Standardı</w:t>
      </w:r>
      <w:proofErr w:type="spellEnd"/>
      <w:r w:rsidRPr="002D6B0E">
        <w:rPr>
          <w:sz w:val="22"/>
          <w:szCs w:val="22"/>
          <w:lang w:val="de-DE"/>
        </w:rPr>
        <w:t xml:space="preserve"> </w:t>
      </w:r>
      <w:proofErr w:type="spellStart"/>
      <w:r w:rsidRPr="002D6B0E">
        <w:rPr>
          <w:sz w:val="22"/>
          <w:szCs w:val="22"/>
          <w:lang w:val="de-DE"/>
        </w:rPr>
        <w:t>kapsamında</w:t>
      </w:r>
      <w:proofErr w:type="spellEnd"/>
      <w:r w:rsidRPr="002D6B0E">
        <w:rPr>
          <w:sz w:val="22"/>
          <w:szCs w:val="22"/>
          <w:lang w:val="de-DE"/>
        </w:rPr>
        <w:t>;</w:t>
      </w:r>
    </w:p>
    <w:p w14:paraId="0A19B25B" w14:textId="77777777" w:rsidR="003350B4" w:rsidRPr="002D6B0E" w:rsidRDefault="003350B4" w:rsidP="003350B4">
      <w:pPr>
        <w:ind w:left="708"/>
        <w:jc w:val="both"/>
        <w:rPr>
          <w:b/>
          <w:sz w:val="22"/>
          <w:szCs w:val="22"/>
        </w:rPr>
      </w:pPr>
    </w:p>
    <w:p w14:paraId="16DBFB38" w14:textId="77777777" w:rsidR="000241F2" w:rsidRPr="002D6B0E" w:rsidRDefault="000241F2" w:rsidP="000241F2">
      <w:pPr>
        <w:numPr>
          <w:ilvl w:val="0"/>
          <w:numId w:val="21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Herhangi bir belgelendirme kuruluşu tarafından belgelendirilmiş bir kuruluşun, belgesini </w:t>
      </w:r>
      <w:proofErr w:type="gramStart"/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>’</w:t>
      </w:r>
      <w:proofErr w:type="gramEnd"/>
      <w:r w:rsidRPr="002D6B0E">
        <w:rPr>
          <w:sz w:val="22"/>
          <w:szCs w:val="22"/>
        </w:rPr>
        <w:t xml:space="preserve"> ne transfer (devir) etmek istemesi durumunda ortaya çıkan bir durumdur ve kuruluş tarafından 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’ ne yazılı ya da sözlü olarak bildirilir. </w:t>
      </w:r>
    </w:p>
    <w:p w14:paraId="104142A0" w14:textId="77777777" w:rsidR="000241F2" w:rsidRPr="002D6B0E" w:rsidRDefault="000241F2" w:rsidP="000241F2">
      <w:pPr>
        <w:ind w:left="1418" w:hanging="709"/>
        <w:jc w:val="both"/>
        <w:rPr>
          <w:sz w:val="22"/>
          <w:szCs w:val="22"/>
        </w:rPr>
      </w:pPr>
    </w:p>
    <w:p w14:paraId="32A5BF34" w14:textId="77777777" w:rsidR="000241F2" w:rsidRPr="002D6B0E" w:rsidRDefault="000241F2" w:rsidP="000241F2">
      <w:pPr>
        <w:numPr>
          <w:ilvl w:val="0"/>
          <w:numId w:val="21"/>
        </w:numPr>
        <w:ind w:left="1418" w:hanging="709"/>
        <w:jc w:val="both"/>
        <w:rPr>
          <w:sz w:val="22"/>
          <w:szCs w:val="22"/>
        </w:rPr>
      </w:pPr>
      <w:proofErr w:type="gramStart"/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>’</w:t>
      </w:r>
      <w:proofErr w:type="gramEnd"/>
      <w:r w:rsidRPr="002D6B0E">
        <w:rPr>
          <w:sz w:val="22"/>
          <w:szCs w:val="22"/>
        </w:rPr>
        <w:t xml:space="preserve"> ne yapılan belge transfer talebinin gerçekleştirilebilmesi için, aşağıda belirtilen gerekliliklerin sağlanması gerekmektedir: </w:t>
      </w:r>
    </w:p>
    <w:p w14:paraId="1BA507E2" w14:textId="77777777" w:rsidR="000241F2" w:rsidRPr="002D6B0E" w:rsidRDefault="000241F2" w:rsidP="000241F2">
      <w:pPr>
        <w:ind w:left="709"/>
        <w:jc w:val="both"/>
        <w:rPr>
          <w:b/>
          <w:sz w:val="22"/>
          <w:szCs w:val="22"/>
        </w:rPr>
      </w:pPr>
    </w:p>
    <w:p w14:paraId="252C2259" w14:textId="77777777" w:rsidR="000241F2" w:rsidRPr="002D6B0E" w:rsidRDefault="000241F2" w:rsidP="000241F2">
      <w:pPr>
        <w:numPr>
          <w:ilvl w:val="0"/>
          <w:numId w:val="18"/>
        </w:numPr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 sahip olduğu belgenin halen aktif durumda olması gerekmektedir. Herhangi bir nedenle belgesi askıda olan ya da belge hakkında kuruluşla itiraz, şikâyet ya da anlaşmazlık nedeni</w:t>
      </w:r>
      <w:r w:rsidR="00B646FD" w:rsidRPr="002D6B0E">
        <w:rPr>
          <w:sz w:val="22"/>
          <w:szCs w:val="22"/>
        </w:rPr>
        <w:t>yle hukuki sürecin devam ettiği</w:t>
      </w:r>
      <w:r w:rsidRPr="002D6B0E">
        <w:rPr>
          <w:sz w:val="22"/>
          <w:szCs w:val="22"/>
        </w:rPr>
        <w:t xml:space="preserve"> kuruluşların belge transferi (devri) başvuruları kabul edilmez</w:t>
      </w:r>
    </w:p>
    <w:p w14:paraId="292E817B" w14:textId="77777777" w:rsidR="000241F2" w:rsidRPr="002D6B0E" w:rsidRDefault="000241F2" w:rsidP="000241F2">
      <w:pPr>
        <w:numPr>
          <w:ilvl w:val="0"/>
          <w:numId w:val="18"/>
        </w:numPr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 bir önceki belgelendirme kurumu tarafından gerçekleştirilen denetimde tespit ettiği uygunsuzluklara ait düzeltici faaliyetlerin uygulanmış ve uygunsuzlukları kapatılmış olması gerekmektedir.</w:t>
      </w:r>
    </w:p>
    <w:p w14:paraId="782A1AA8" w14:textId="77777777" w:rsidR="000241F2" w:rsidRPr="002D6B0E" w:rsidRDefault="000241F2" w:rsidP="000241F2">
      <w:pPr>
        <w:numPr>
          <w:ilvl w:val="0"/>
          <w:numId w:val="18"/>
        </w:numPr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Kuruluşun, piyasada kötü bir izleniminin olmaması</w:t>
      </w:r>
      <w:r w:rsidR="00B646FD" w:rsidRPr="002D6B0E">
        <w:rPr>
          <w:sz w:val="22"/>
          <w:szCs w:val="22"/>
        </w:rPr>
        <w:t>. Y</w:t>
      </w:r>
      <w:r w:rsidRPr="002D6B0E">
        <w:rPr>
          <w:sz w:val="22"/>
          <w:szCs w:val="22"/>
        </w:rPr>
        <w:t>asa dışı işler yaptığının bilinmesi ya da duyulması</w:t>
      </w:r>
      <w:r w:rsidR="00B646FD" w:rsidRPr="002D6B0E">
        <w:rPr>
          <w:sz w:val="22"/>
          <w:szCs w:val="22"/>
        </w:rPr>
        <w:t xml:space="preserve"> durumunda belge transferi yapılmaz.</w:t>
      </w:r>
    </w:p>
    <w:p w14:paraId="024D8A1C" w14:textId="77777777" w:rsidR="000241F2" w:rsidRPr="002D6B0E" w:rsidRDefault="000241F2" w:rsidP="000241F2">
      <w:pPr>
        <w:numPr>
          <w:ilvl w:val="0"/>
          <w:numId w:val="18"/>
        </w:numPr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lastRenderedPageBreak/>
        <w:t xml:space="preserve">Kuruluşun belgelendirme kapsamının </w:t>
      </w:r>
      <w:proofErr w:type="gramStart"/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>’</w:t>
      </w:r>
      <w:proofErr w:type="gramEnd"/>
      <w:r w:rsidRPr="002D6B0E">
        <w:rPr>
          <w:sz w:val="22"/>
          <w:szCs w:val="22"/>
        </w:rPr>
        <w:t xml:space="preserve"> </w:t>
      </w:r>
      <w:proofErr w:type="spellStart"/>
      <w:r w:rsidRPr="002D6B0E">
        <w:rPr>
          <w:sz w:val="22"/>
          <w:szCs w:val="22"/>
        </w:rPr>
        <w:t>nin</w:t>
      </w:r>
      <w:proofErr w:type="spellEnd"/>
      <w:r w:rsidRPr="002D6B0E">
        <w:rPr>
          <w:sz w:val="22"/>
          <w:szCs w:val="22"/>
        </w:rPr>
        <w:t xml:space="preserve"> akredite olduğu EA koduna uygun olması gerekmektedir (EUROGAP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’ </w:t>
      </w:r>
      <w:proofErr w:type="spellStart"/>
      <w:r w:rsidRPr="002D6B0E">
        <w:rPr>
          <w:sz w:val="22"/>
          <w:szCs w:val="22"/>
        </w:rPr>
        <w:t>nin</w:t>
      </w:r>
      <w:proofErr w:type="spellEnd"/>
      <w:r w:rsidRPr="002D6B0E">
        <w:rPr>
          <w:sz w:val="22"/>
          <w:szCs w:val="22"/>
        </w:rPr>
        <w:t xml:space="preserve"> söz konusu kapsamda belgelendirme yetkisi olmalıdır)</w:t>
      </w:r>
    </w:p>
    <w:p w14:paraId="73B7F703" w14:textId="77777777" w:rsidR="000241F2" w:rsidRPr="002D6B0E" w:rsidRDefault="000241F2" w:rsidP="000241F2">
      <w:pPr>
        <w:numPr>
          <w:ilvl w:val="0"/>
          <w:numId w:val="18"/>
        </w:numPr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Transfer müracaatı yapan kurulusun son denetim tarihi transfer denetim tarihinden en fazla 12 ay önce gerçekleştirilmiş olmalıdır.</w:t>
      </w:r>
    </w:p>
    <w:p w14:paraId="738C19B0" w14:textId="77777777" w:rsidR="000241F2" w:rsidRPr="002D6B0E" w:rsidRDefault="000241F2" w:rsidP="000241F2">
      <w:pPr>
        <w:autoSpaceDE w:val="0"/>
        <w:autoSpaceDN w:val="0"/>
        <w:adjustRightInd w:val="0"/>
        <w:ind w:left="1843"/>
        <w:jc w:val="both"/>
        <w:rPr>
          <w:sz w:val="22"/>
          <w:szCs w:val="22"/>
        </w:rPr>
      </w:pPr>
    </w:p>
    <w:p w14:paraId="60C25F8F" w14:textId="77777777" w:rsidR="000241F2" w:rsidRPr="002D6B0E" w:rsidRDefault="000241F2" w:rsidP="000241F2">
      <w:pPr>
        <w:numPr>
          <w:ilvl w:val="0"/>
          <w:numId w:val="21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Belge transferinin yukarıda belirtilen şartlara uygun olması durumunda, müracaatın kabul edilmeme gerekçesi müracaat sahibine açıklanır.</w:t>
      </w:r>
    </w:p>
    <w:p w14:paraId="1BD8DD13" w14:textId="77777777" w:rsidR="000241F2" w:rsidRPr="002D6B0E" w:rsidRDefault="000241F2" w:rsidP="000241F2">
      <w:pPr>
        <w:ind w:left="709"/>
        <w:jc w:val="both"/>
        <w:rPr>
          <w:b/>
          <w:sz w:val="22"/>
          <w:szCs w:val="22"/>
        </w:rPr>
      </w:pPr>
    </w:p>
    <w:p w14:paraId="69A5D97F" w14:textId="77777777" w:rsidR="005750AE" w:rsidRPr="002D6B0E" w:rsidRDefault="005750AE" w:rsidP="005750AE">
      <w:pPr>
        <w:numPr>
          <w:ilvl w:val="1"/>
          <w:numId w:val="8"/>
        </w:numPr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Belge Transferi Müracaatlarının Alınması ve Değerlendirilmesi</w:t>
      </w:r>
    </w:p>
    <w:p w14:paraId="1A95D4CD" w14:textId="77777777" w:rsidR="005D673A" w:rsidRPr="002D6B0E" w:rsidRDefault="005750AE" w:rsidP="005D673A">
      <w:pPr>
        <w:numPr>
          <w:ilvl w:val="0"/>
          <w:numId w:val="25"/>
        </w:numPr>
        <w:ind w:hanging="71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Belge tran</w:t>
      </w:r>
      <w:r w:rsidR="005D673A" w:rsidRPr="002D6B0E">
        <w:rPr>
          <w:sz w:val="22"/>
          <w:szCs w:val="22"/>
        </w:rPr>
        <w:t xml:space="preserve">sferi müracaatları ilk müracaatta olduğu gibi alınır, ek olarak </w:t>
      </w:r>
      <w:r w:rsidR="005D673A" w:rsidRPr="002D6B0E">
        <w:rPr>
          <w:b/>
          <w:sz w:val="22"/>
          <w:szCs w:val="22"/>
        </w:rPr>
        <w:t>FR.041 Belge Transferi Bilgi Formu’</w:t>
      </w:r>
      <w:r w:rsidR="005D673A" w:rsidRPr="002D6B0E">
        <w:rPr>
          <w:sz w:val="22"/>
          <w:szCs w:val="22"/>
        </w:rPr>
        <w:t xml:space="preserve"> nu doldurması istenir.</w:t>
      </w:r>
    </w:p>
    <w:p w14:paraId="01117306" w14:textId="77777777" w:rsidR="001A6497" w:rsidRPr="002D6B0E" w:rsidRDefault="001A6497" w:rsidP="001A6497">
      <w:pPr>
        <w:ind w:left="1428"/>
        <w:jc w:val="both"/>
        <w:rPr>
          <w:sz w:val="22"/>
          <w:szCs w:val="22"/>
        </w:rPr>
      </w:pPr>
    </w:p>
    <w:p w14:paraId="157669A6" w14:textId="77777777" w:rsidR="001A6497" w:rsidRPr="002D6B0E" w:rsidRDefault="001A6497" w:rsidP="001A6497">
      <w:pPr>
        <w:numPr>
          <w:ilvl w:val="0"/>
          <w:numId w:val="25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Belge transferi müracaatında bulunmak isteyen kuruluşlar, müracaatlarını </w:t>
      </w:r>
      <w:hyperlink r:id="rId14" w:history="1">
        <w:r w:rsidRPr="002D6B0E">
          <w:rPr>
            <w:rStyle w:val="Kpr"/>
            <w:color w:val="auto"/>
            <w:sz w:val="22"/>
            <w:szCs w:val="22"/>
            <w:u w:val="none"/>
          </w:rPr>
          <w:t>www.eurogap.com.tr</w:t>
        </w:r>
      </w:hyperlink>
      <w:r w:rsidRPr="002D6B0E">
        <w:rPr>
          <w:sz w:val="22"/>
          <w:szCs w:val="22"/>
        </w:rPr>
        <w:t xml:space="preserve"> adresinde kamuya açık tutulan </w:t>
      </w:r>
      <w:r w:rsidRPr="002D6B0E">
        <w:rPr>
          <w:b/>
          <w:sz w:val="22"/>
          <w:szCs w:val="22"/>
        </w:rPr>
        <w:t xml:space="preserve">FR.013 </w:t>
      </w:r>
      <w:r w:rsidR="00795C68" w:rsidRPr="002D6B0E">
        <w:rPr>
          <w:b/>
          <w:sz w:val="22"/>
          <w:szCs w:val="22"/>
        </w:rPr>
        <w:t xml:space="preserve">Sistem </w:t>
      </w:r>
      <w:r w:rsidRPr="002D6B0E">
        <w:rPr>
          <w:b/>
          <w:sz w:val="22"/>
          <w:szCs w:val="22"/>
        </w:rPr>
        <w:t>Belgelendirme Müracaat Formu</w:t>
      </w:r>
      <w:r w:rsidRPr="002D6B0E">
        <w:rPr>
          <w:sz w:val="22"/>
          <w:szCs w:val="22"/>
        </w:rPr>
        <w:t xml:space="preserve"> ve</w:t>
      </w:r>
      <w:r w:rsidRPr="002D6B0E">
        <w:rPr>
          <w:b/>
          <w:sz w:val="22"/>
          <w:szCs w:val="22"/>
        </w:rPr>
        <w:t xml:space="preserve"> FR.041 Belge Transfer Bilgi Formu’</w:t>
      </w:r>
      <w:r w:rsidRPr="002D6B0E">
        <w:rPr>
          <w:sz w:val="22"/>
          <w:szCs w:val="22"/>
        </w:rPr>
        <w:t xml:space="preserve"> nu doldurarak da yapabilirler. Ayrıca, belge transferine ilişkin uygulamaların anlatıldığı </w:t>
      </w:r>
      <w:r w:rsidRPr="002D6B0E">
        <w:rPr>
          <w:b/>
          <w:sz w:val="22"/>
          <w:szCs w:val="22"/>
        </w:rPr>
        <w:t>PR.021 Belge Transferi Prosedürü</w:t>
      </w:r>
      <w:r w:rsidRPr="002D6B0E">
        <w:rPr>
          <w:sz w:val="22"/>
          <w:szCs w:val="22"/>
        </w:rPr>
        <w:t xml:space="preserve">, </w:t>
      </w:r>
      <w:hyperlink r:id="rId15" w:history="1">
        <w:r w:rsidRPr="002D6B0E">
          <w:rPr>
            <w:rStyle w:val="Kpr"/>
            <w:color w:val="auto"/>
            <w:sz w:val="22"/>
            <w:szCs w:val="22"/>
            <w:u w:val="none"/>
          </w:rPr>
          <w:t>www.eurogap.com.tr</w:t>
        </w:r>
      </w:hyperlink>
      <w:r w:rsidRPr="002D6B0E">
        <w:rPr>
          <w:sz w:val="22"/>
          <w:szCs w:val="22"/>
        </w:rPr>
        <w:t xml:space="preserve"> adresinde kamuya açık tutulmaktadır.</w:t>
      </w:r>
    </w:p>
    <w:p w14:paraId="7ABFCF2F" w14:textId="77777777" w:rsidR="005D673A" w:rsidRPr="002D6B0E" w:rsidRDefault="005D673A" w:rsidP="005D673A">
      <w:pPr>
        <w:numPr>
          <w:ilvl w:val="0"/>
          <w:numId w:val="25"/>
        </w:numPr>
        <w:ind w:hanging="71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Yapılan belge transferi müracaatı kapsamında alınan bilgiler doğrultusunda aşağıda tanımlanan konular gözden geçirilerek belge transferinin uygunluğuna karar verilir:</w:t>
      </w:r>
    </w:p>
    <w:p w14:paraId="2B7C272A" w14:textId="77777777" w:rsidR="005D673A" w:rsidRPr="002D6B0E" w:rsidRDefault="005D673A" w:rsidP="005D673A">
      <w:pPr>
        <w:tabs>
          <w:tab w:val="left" w:pos="1843"/>
        </w:tabs>
        <w:ind w:left="1843"/>
        <w:jc w:val="both"/>
        <w:rPr>
          <w:sz w:val="22"/>
          <w:szCs w:val="22"/>
        </w:rPr>
      </w:pPr>
    </w:p>
    <w:p w14:paraId="54F73379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 belgelendirme kapsamının uygunluğu</w:t>
      </w:r>
    </w:p>
    <w:p w14:paraId="2A7E9228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 belge transferi gerekçesi</w:t>
      </w:r>
    </w:p>
    <w:p w14:paraId="54B9E345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Bir önceki denetimde tespit edilen uygunsuzluklar ve uygunsuzlukları kapatıldığının ve eğer mümkünse uygunsuzlukların kapatılması için önceki belgelendirme kurumu tarafından doğrulanmasının sağlanması</w:t>
      </w:r>
    </w:p>
    <w:p w14:paraId="7A50A6A1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sz w:val="20"/>
          <w:szCs w:val="20"/>
        </w:rPr>
      </w:pPr>
      <w:r w:rsidRPr="002D6B0E">
        <w:rPr>
          <w:sz w:val="22"/>
          <w:szCs w:val="22"/>
        </w:rPr>
        <w:t>Kuruluş hakkındaki şikâyetler ve uygulanan yaptırımlar</w:t>
      </w:r>
    </w:p>
    <w:p w14:paraId="03156328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sz w:val="20"/>
          <w:szCs w:val="20"/>
        </w:rPr>
      </w:pPr>
      <w:r w:rsidRPr="002D6B0E">
        <w:rPr>
          <w:sz w:val="22"/>
          <w:szCs w:val="22"/>
        </w:rPr>
        <w:t>Belgenin doğruluğu, geçerliliği, belge üzerindeki kuruluşun ticari unvanı, adreslerin ve istenilen adreslerin belgelendirme kapsamında olup olmadığı ve geçerliliği</w:t>
      </w:r>
      <w:r w:rsidRPr="002D6B0E">
        <w:rPr>
          <w:sz w:val="20"/>
          <w:szCs w:val="20"/>
        </w:rPr>
        <w:t>,</w:t>
      </w:r>
      <w:r w:rsidRPr="002D6B0E">
        <w:rPr>
          <w:sz w:val="22"/>
          <w:szCs w:val="22"/>
        </w:rPr>
        <w:t xml:space="preserve"> </w:t>
      </w:r>
    </w:p>
    <w:p w14:paraId="6689A1F6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Belgelendirme kuruluşu ve bağlı olduğu akreditasyon kuruluşu Uluslar arası kabul görmüş bir akreditasyon kurumu olup olmadığı ve TS EN ISO/IEC 17021 </w:t>
      </w:r>
      <w:proofErr w:type="spellStart"/>
      <w:r w:rsidR="002E408F" w:rsidRPr="002D6B0E">
        <w:rPr>
          <w:sz w:val="22"/>
          <w:szCs w:val="22"/>
          <w:lang w:val="de-DE"/>
        </w:rPr>
        <w:t>Yönetim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Sistemlerinin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Tetkikini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ve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Değerlendirmesini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Sağlayan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Kuruluşlar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İçin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Şartlar</w:t>
      </w:r>
      <w:proofErr w:type="spellEnd"/>
      <w:r w:rsidR="002E408F" w:rsidRPr="002D6B0E">
        <w:rPr>
          <w:sz w:val="22"/>
          <w:szCs w:val="22"/>
          <w:lang w:val="de-DE"/>
        </w:rPr>
        <w:t xml:space="preserve"> </w:t>
      </w:r>
      <w:proofErr w:type="spellStart"/>
      <w:r w:rsidR="002E408F" w:rsidRPr="002D6B0E">
        <w:rPr>
          <w:sz w:val="22"/>
          <w:szCs w:val="22"/>
          <w:lang w:val="de-DE"/>
        </w:rPr>
        <w:t>Standardı</w:t>
      </w:r>
      <w:proofErr w:type="spellEnd"/>
      <w:r w:rsidR="002E408F" w:rsidRP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 xml:space="preserve">Akreditasyon kuralları çerçevesinde verilip </w:t>
      </w:r>
      <w:proofErr w:type="gramStart"/>
      <w:r w:rsidRPr="002D6B0E">
        <w:rPr>
          <w:sz w:val="22"/>
          <w:szCs w:val="22"/>
        </w:rPr>
        <w:t>verilmediği )</w:t>
      </w:r>
      <w:proofErr w:type="gramEnd"/>
    </w:p>
    <w:p w14:paraId="49174F8F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Kuruluşun önceki belge kapsamında yapılan değişikliler ve değişikliklerin tutarlılığı </w:t>
      </w:r>
    </w:p>
    <w:p w14:paraId="1E53EEBA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Alınan şikâyet/şikâyetler ve şikâyetlere ilişkin gerçekleştirilen faaliyetler ve faaliyetlerin yeterliliği ve etkinliği</w:t>
      </w:r>
    </w:p>
    <w:p w14:paraId="14FA1DE1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Yasal mercilerle geçmişte veya mevcut süregelen herhangi bir anlaşmazlık durumu</w:t>
      </w:r>
    </w:p>
    <w:p w14:paraId="5A58FF14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Önceki belgelendirme kuruluşu tarafında gerçekleştirilen son denetime ilişkin denetim raporu</w:t>
      </w:r>
    </w:p>
    <w:p w14:paraId="233E80E7" w14:textId="77777777" w:rsidR="005D673A" w:rsidRPr="002D6B0E" w:rsidRDefault="005D673A" w:rsidP="005D673A">
      <w:pPr>
        <w:numPr>
          <w:ilvl w:val="0"/>
          <w:numId w:val="19"/>
        </w:numPr>
        <w:tabs>
          <w:tab w:val="left" w:pos="1843"/>
        </w:tabs>
        <w:ind w:left="1843" w:hanging="425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Gerektiğinde ve uygun olduğu durumda önceki belgelendirme kuruluşundan kuruluşun kalite </w:t>
      </w:r>
      <w:proofErr w:type="gramStart"/>
      <w:r w:rsidRPr="002D6B0E">
        <w:rPr>
          <w:sz w:val="22"/>
          <w:szCs w:val="22"/>
        </w:rPr>
        <w:t>yönetim</w:t>
      </w:r>
      <w:proofErr w:type="gramEnd"/>
      <w:r w:rsidRPr="002D6B0E">
        <w:rPr>
          <w:sz w:val="22"/>
          <w:szCs w:val="22"/>
        </w:rPr>
        <w:t xml:space="preserve"> sistemi ve belgelendirme sürecine ilişkin referans bilgi   </w:t>
      </w:r>
    </w:p>
    <w:p w14:paraId="2FE3E134" w14:textId="77777777" w:rsidR="005D673A" w:rsidRPr="002D6B0E" w:rsidRDefault="005D673A" w:rsidP="005D673A">
      <w:pPr>
        <w:ind w:left="1428"/>
        <w:jc w:val="both"/>
        <w:rPr>
          <w:sz w:val="22"/>
          <w:szCs w:val="22"/>
        </w:rPr>
      </w:pPr>
    </w:p>
    <w:p w14:paraId="54436613" w14:textId="77777777" w:rsidR="001A6497" w:rsidRPr="002D6B0E" w:rsidRDefault="001A6497" w:rsidP="001A6497">
      <w:pPr>
        <w:numPr>
          <w:ilvl w:val="0"/>
          <w:numId w:val="25"/>
        </w:numPr>
        <w:ind w:hanging="71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Kuruluşun belge transferi için aşağıda belirtilen dokümantasyonu en geç 1 hafta içerisinde </w:t>
      </w:r>
      <w:proofErr w:type="gramStart"/>
      <w:r w:rsidRPr="002D6B0E">
        <w:rPr>
          <w:sz w:val="22"/>
          <w:szCs w:val="22"/>
        </w:rPr>
        <w:t xml:space="preserve">EUROGAP </w:t>
      </w:r>
      <w:r w:rsidR="002D6B0E">
        <w:rPr>
          <w:sz w:val="22"/>
          <w:szCs w:val="22"/>
        </w:rPr>
        <w:t xml:space="preserve"> </w:t>
      </w:r>
      <w:r w:rsidRPr="002D6B0E">
        <w:rPr>
          <w:sz w:val="22"/>
          <w:szCs w:val="22"/>
        </w:rPr>
        <w:t>’</w:t>
      </w:r>
      <w:proofErr w:type="gramEnd"/>
      <w:r w:rsidRPr="002D6B0E">
        <w:rPr>
          <w:sz w:val="22"/>
          <w:szCs w:val="22"/>
        </w:rPr>
        <w:t xml:space="preserve"> ne iletir. Dokümantasyon aşağıdakileri kapsar:</w:t>
      </w:r>
    </w:p>
    <w:p w14:paraId="38AFCD1B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Kalite El Kitabı (Proses Şeması, Organizasyon Şeması, Kalite politikası ve hedefleri, kuruluş kapsamını da içerecek şekilde)</w:t>
      </w:r>
    </w:p>
    <w:p w14:paraId="4B5C555B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Prosedürler</w:t>
      </w:r>
    </w:p>
    <w:p w14:paraId="30436804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Güncel Doküman Listesi</w:t>
      </w:r>
    </w:p>
    <w:p w14:paraId="24FA20C5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Kalite Kayıtları Listesi</w:t>
      </w:r>
    </w:p>
    <w:p w14:paraId="2AC7EBB3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Kuruluşun sahip olduğu izinler ve belgeler</w:t>
      </w:r>
    </w:p>
    <w:p w14:paraId="52AA0C77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ind w:right="140"/>
        <w:jc w:val="both"/>
        <w:rPr>
          <w:sz w:val="22"/>
          <w:szCs w:val="22"/>
        </w:rPr>
      </w:pPr>
      <w:r w:rsidRPr="002D6B0E">
        <w:rPr>
          <w:sz w:val="22"/>
          <w:szCs w:val="22"/>
        </w:rPr>
        <w:lastRenderedPageBreak/>
        <w:t>Yönetimin Gözden Geçirme Toplantısı Tutanağı (son yapılan)</w:t>
      </w:r>
    </w:p>
    <w:p w14:paraId="60AD1449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jc w:val="both"/>
        <w:rPr>
          <w:sz w:val="22"/>
          <w:szCs w:val="22"/>
        </w:rPr>
      </w:pPr>
      <w:r w:rsidRPr="002D6B0E">
        <w:rPr>
          <w:sz w:val="22"/>
          <w:szCs w:val="22"/>
        </w:rPr>
        <w:t>İç tetkik kayıtları Son denetimde tespit edilen uygunsuzluklara ilişkin açılan uygunsuzluk raporları (Uygunsuzlukların etkin olarak kapatıldığından emin olunmadan belge devir işlemleri başlatılmaz)</w:t>
      </w:r>
    </w:p>
    <w:p w14:paraId="6AF0134D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jc w:val="both"/>
        <w:rPr>
          <w:sz w:val="22"/>
          <w:szCs w:val="22"/>
        </w:rPr>
      </w:pPr>
      <w:r w:rsidRPr="002D6B0E">
        <w:rPr>
          <w:sz w:val="22"/>
          <w:szCs w:val="22"/>
        </w:rPr>
        <w:t>Son yapılan yönetimin gözden geçirme toplantısı tutanağı</w:t>
      </w:r>
    </w:p>
    <w:p w14:paraId="17216890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jc w:val="both"/>
        <w:rPr>
          <w:sz w:val="22"/>
          <w:szCs w:val="22"/>
        </w:rPr>
      </w:pPr>
      <w:r w:rsidRPr="002D6B0E">
        <w:rPr>
          <w:sz w:val="22"/>
          <w:szCs w:val="22"/>
        </w:rPr>
        <w:t>Önceki belgelendirme kuruluşunun belgesinin kopyası</w:t>
      </w:r>
    </w:p>
    <w:p w14:paraId="77B50BE4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jc w:val="both"/>
        <w:rPr>
          <w:sz w:val="22"/>
          <w:szCs w:val="22"/>
        </w:rPr>
      </w:pPr>
      <w:r w:rsidRPr="002D6B0E">
        <w:rPr>
          <w:sz w:val="22"/>
          <w:szCs w:val="22"/>
        </w:rPr>
        <w:t>Önceki belgelendirme kuruluşu tarafından yapılan son denetim raporları</w:t>
      </w:r>
    </w:p>
    <w:p w14:paraId="779610C7" w14:textId="77777777" w:rsidR="001A6497" w:rsidRPr="002D6B0E" w:rsidRDefault="001A6497" w:rsidP="001A6497">
      <w:pPr>
        <w:numPr>
          <w:ilvl w:val="0"/>
          <w:numId w:val="23"/>
        </w:numPr>
        <w:tabs>
          <w:tab w:val="left" w:pos="1843"/>
        </w:tabs>
        <w:jc w:val="both"/>
        <w:rPr>
          <w:sz w:val="22"/>
          <w:szCs w:val="22"/>
        </w:rPr>
      </w:pPr>
      <w:r w:rsidRPr="002D6B0E">
        <w:rPr>
          <w:sz w:val="22"/>
          <w:szCs w:val="22"/>
        </w:rPr>
        <w:t>Önceki belgelendirme kuruluşu tarafından alınan ya da bildirilen müşteriyle ilgili şikâyetler</w:t>
      </w:r>
    </w:p>
    <w:p w14:paraId="530E924F" w14:textId="77777777" w:rsidR="00746180" w:rsidRPr="002D6B0E" w:rsidRDefault="00746180" w:rsidP="00746180">
      <w:pPr>
        <w:ind w:left="1418"/>
        <w:jc w:val="both"/>
        <w:rPr>
          <w:sz w:val="22"/>
          <w:szCs w:val="22"/>
        </w:rPr>
      </w:pPr>
    </w:p>
    <w:p w14:paraId="710FCFD1" w14:textId="77777777" w:rsidR="002D4777" w:rsidRPr="002D6B0E" w:rsidRDefault="00F52F80" w:rsidP="001A6497">
      <w:pPr>
        <w:numPr>
          <w:ilvl w:val="0"/>
          <w:numId w:val="25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Kuruluş </w:t>
      </w:r>
      <w:r w:rsidR="001A6497" w:rsidRPr="002D6B0E">
        <w:rPr>
          <w:sz w:val="22"/>
          <w:szCs w:val="22"/>
        </w:rPr>
        <w:t>bünyesinde hazırlanan dokümantasyonun kontrolü</w:t>
      </w:r>
      <w:r w:rsidRPr="002D6B0E">
        <w:rPr>
          <w:sz w:val="22"/>
          <w:szCs w:val="22"/>
        </w:rPr>
        <w:t xml:space="preserve">, </w:t>
      </w:r>
      <w:r w:rsidR="001A6497" w:rsidRPr="002D6B0E">
        <w:rPr>
          <w:sz w:val="22"/>
          <w:szCs w:val="22"/>
        </w:rPr>
        <w:t>1.aşama denetim sürecine uygun olarak yürütülür</w:t>
      </w:r>
      <w:r w:rsidR="002D4777" w:rsidRPr="002D6B0E">
        <w:rPr>
          <w:sz w:val="22"/>
          <w:szCs w:val="22"/>
        </w:rPr>
        <w:t xml:space="preserve"> (</w:t>
      </w:r>
      <w:r w:rsidR="002D4777" w:rsidRPr="002D6B0E">
        <w:rPr>
          <w:b/>
          <w:sz w:val="22"/>
          <w:szCs w:val="22"/>
        </w:rPr>
        <w:t>PR.007 1.Aşama (Dokümantasyon) Denetim Prosedürü</w:t>
      </w:r>
      <w:r w:rsidR="002D4777" w:rsidRPr="002D6B0E">
        <w:rPr>
          <w:sz w:val="22"/>
          <w:szCs w:val="22"/>
        </w:rPr>
        <w:t>).</w:t>
      </w:r>
      <w:r w:rsidRPr="002D6B0E">
        <w:rPr>
          <w:sz w:val="22"/>
          <w:szCs w:val="22"/>
        </w:rPr>
        <w:t xml:space="preserve"> Kuruluş mutlaka yerinde de ziyaret edilir ve önceki belgelendirme tespit ettiği ve açtığı uygunsuzlukların etkin olarak kapatıldığından emin olunmadan belg</w:t>
      </w:r>
      <w:r w:rsidR="002D4777" w:rsidRPr="002D6B0E">
        <w:rPr>
          <w:sz w:val="22"/>
          <w:szCs w:val="22"/>
        </w:rPr>
        <w:t xml:space="preserve">e devir işlemleri başlatılmaz. </w:t>
      </w:r>
    </w:p>
    <w:p w14:paraId="06A46D14" w14:textId="77777777" w:rsidR="002D4777" w:rsidRPr="002D6B0E" w:rsidRDefault="002D4777" w:rsidP="002D4777">
      <w:pPr>
        <w:ind w:left="1418"/>
        <w:jc w:val="both"/>
        <w:rPr>
          <w:sz w:val="22"/>
          <w:szCs w:val="22"/>
        </w:rPr>
      </w:pPr>
    </w:p>
    <w:p w14:paraId="6CF95E52" w14:textId="77777777" w:rsidR="00746180" w:rsidRPr="002D6B0E" w:rsidRDefault="002D4777" w:rsidP="001A6497">
      <w:pPr>
        <w:numPr>
          <w:ilvl w:val="0"/>
          <w:numId w:val="25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>K</w:t>
      </w:r>
      <w:r w:rsidR="00F52F80" w:rsidRPr="002D6B0E">
        <w:rPr>
          <w:sz w:val="22"/>
          <w:szCs w:val="22"/>
        </w:rPr>
        <w:t>uruluşun geçirdiği son denetimlere ilişkin denetim raporları da Baş Denetçi tarafından yerinde incelenir ve kuruluşun kalite yönetim sist</w:t>
      </w:r>
      <w:r w:rsidR="00746180" w:rsidRPr="002D6B0E">
        <w:rPr>
          <w:sz w:val="22"/>
          <w:szCs w:val="22"/>
        </w:rPr>
        <w:t>emi performansı değerlendirilir</w:t>
      </w:r>
      <w:r w:rsidR="00F52F80" w:rsidRPr="002D6B0E">
        <w:rPr>
          <w:sz w:val="22"/>
          <w:szCs w:val="22"/>
        </w:rPr>
        <w:t xml:space="preserve"> ve </w:t>
      </w:r>
      <w:r w:rsidR="00746180" w:rsidRPr="002D6B0E">
        <w:rPr>
          <w:b/>
          <w:sz w:val="22"/>
          <w:szCs w:val="22"/>
        </w:rPr>
        <w:t>FR.025</w:t>
      </w:r>
      <w:r w:rsidR="00F52F80" w:rsidRPr="002D6B0E">
        <w:rPr>
          <w:b/>
          <w:sz w:val="22"/>
          <w:szCs w:val="22"/>
        </w:rPr>
        <w:t xml:space="preserve"> 1.Aşama Denetim Raporu</w:t>
      </w:r>
      <w:r w:rsidR="00F52F80" w:rsidRPr="002D6B0E">
        <w:rPr>
          <w:sz w:val="22"/>
          <w:szCs w:val="22"/>
        </w:rPr>
        <w:t xml:space="preserve"> hazırlanır ve Belgelendirme Yöneticisi’ ne sunulur. </w:t>
      </w:r>
    </w:p>
    <w:p w14:paraId="35A469A0" w14:textId="77777777" w:rsidR="00746180" w:rsidRPr="002D6B0E" w:rsidRDefault="00746180" w:rsidP="00746180">
      <w:pPr>
        <w:pStyle w:val="ListeParagraf"/>
        <w:rPr>
          <w:sz w:val="22"/>
          <w:szCs w:val="22"/>
        </w:rPr>
      </w:pPr>
    </w:p>
    <w:p w14:paraId="7F74E016" w14:textId="77777777" w:rsidR="002D4777" w:rsidRPr="002D6B0E" w:rsidRDefault="00F52F80" w:rsidP="002D4777">
      <w:pPr>
        <w:numPr>
          <w:ilvl w:val="0"/>
          <w:numId w:val="25"/>
        </w:numPr>
        <w:ind w:left="1418" w:hanging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Gerçekleştirilen </w:t>
      </w:r>
      <w:r w:rsidR="002D4777" w:rsidRPr="002D6B0E">
        <w:rPr>
          <w:sz w:val="22"/>
          <w:szCs w:val="22"/>
        </w:rPr>
        <w:t>dokümantasyon incelemesi</w:t>
      </w:r>
      <w:r w:rsidRPr="002D6B0E">
        <w:rPr>
          <w:sz w:val="22"/>
          <w:szCs w:val="22"/>
        </w:rPr>
        <w:t xml:space="preserve"> neticesinde </w:t>
      </w:r>
      <w:r w:rsidR="002D4777" w:rsidRPr="002D6B0E">
        <w:rPr>
          <w:sz w:val="22"/>
          <w:szCs w:val="22"/>
        </w:rPr>
        <w:t xml:space="preserve">uygun bulunan </w:t>
      </w:r>
      <w:r w:rsidRPr="002D6B0E">
        <w:rPr>
          <w:sz w:val="22"/>
          <w:szCs w:val="22"/>
        </w:rPr>
        <w:t xml:space="preserve">kuruluşun </w:t>
      </w:r>
      <w:r w:rsidR="002D4777" w:rsidRPr="002D6B0E">
        <w:rPr>
          <w:sz w:val="22"/>
          <w:szCs w:val="22"/>
        </w:rPr>
        <w:t xml:space="preserve">belge transferi </w:t>
      </w:r>
      <w:r w:rsidRPr="002D6B0E">
        <w:rPr>
          <w:sz w:val="22"/>
          <w:szCs w:val="22"/>
        </w:rPr>
        <w:t xml:space="preserve">denetimi Belgelendirme Yöneticisi tarafından planlanır ve 2. Aşama denetim </w:t>
      </w:r>
      <w:r w:rsidR="002D4777" w:rsidRPr="002D6B0E">
        <w:rPr>
          <w:sz w:val="22"/>
          <w:szCs w:val="22"/>
        </w:rPr>
        <w:t>sürecine uygun olarak gerçekleştirilir (</w:t>
      </w:r>
      <w:r w:rsidR="002D4777" w:rsidRPr="002D6B0E">
        <w:rPr>
          <w:b/>
          <w:sz w:val="22"/>
          <w:szCs w:val="22"/>
        </w:rPr>
        <w:t>PR.008 2.Aşama Denetim Prosedürü</w:t>
      </w:r>
      <w:r w:rsidR="002D4777" w:rsidRPr="002D6B0E">
        <w:rPr>
          <w:sz w:val="22"/>
          <w:szCs w:val="22"/>
        </w:rPr>
        <w:t xml:space="preserve">). </w:t>
      </w:r>
      <w:r w:rsidRPr="002D6B0E">
        <w:rPr>
          <w:sz w:val="22"/>
          <w:szCs w:val="22"/>
        </w:rPr>
        <w:t xml:space="preserve"> </w:t>
      </w:r>
    </w:p>
    <w:p w14:paraId="41C59857" w14:textId="77777777" w:rsidR="002D4777" w:rsidRPr="002D6B0E" w:rsidRDefault="002D4777" w:rsidP="002D4777">
      <w:pPr>
        <w:pStyle w:val="ListeParagraf"/>
        <w:rPr>
          <w:sz w:val="22"/>
          <w:szCs w:val="22"/>
        </w:rPr>
      </w:pPr>
    </w:p>
    <w:p w14:paraId="54720E42" w14:textId="77777777" w:rsidR="002D4777" w:rsidRPr="002D6B0E" w:rsidRDefault="002D4777" w:rsidP="002D4777">
      <w:pPr>
        <w:numPr>
          <w:ilvl w:val="1"/>
          <w:numId w:val="8"/>
        </w:numPr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Belge Transferinin Gerçekleştirilmesi</w:t>
      </w:r>
    </w:p>
    <w:p w14:paraId="3699CCD9" w14:textId="77777777" w:rsidR="00091655" w:rsidRPr="002D6B0E" w:rsidRDefault="002D4777" w:rsidP="00091655">
      <w:pPr>
        <w:numPr>
          <w:ilvl w:val="0"/>
          <w:numId w:val="26"/>
        </w:numPr>
        <w:ind w:hanging="71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Gerçekleştirilen saha denetimi neticesinde belge transferine ilişkin tavsiye Belgelendirme Komitesi’ ne iletilir ve Belgelendirme Komitesi’ </w:t>
      </w:r>
      <w:proofErr w:type="spellStart"/>
      <w:r w:rsidRPr="002D6B0E">
        <w:rPr>
          <w:sz w:val="22"/>
          <w:szCs w:val="22"/>
        </w:rPr>
        <w:t>nin</w:t>
      </w:r>
      <w:proofErr w:type="spellEnd"/>
      <w:r w:rsidRPr="002D6B0E">
        <w:rPr>
          <w:sz w:val="22"/>
          <w:szCs w:val="22"/>
        </w:rPr>
        <w:t xml:space="preserve"> tavsiyeyi onaylaması durumunda transfer kararı geçerlilik kazanır ve belge transferi gerçekleştirilir.</w:t>
      </w:r>
    </w:p>
    <w:p w14:paraId="455476A0" w14:textId="77777777" w:rsidR="00091655" w:rsidRPr="002D6B0E" w:rsidRDefault="00091655" w:rsidP="00091655">
      <w:pPr>
        <w:ind w:left="1428"/>
        <w:jc w:val="both"/>
        <w:rPr>
          <w:sz w:val="22"/>
          <w:szCs w:val="22"/>
        </w:rPr>
      </w:pPr>
    </w:p>
    <w:p w14:paraId="5457B124" w14:textId="77777777" w:rsidR="002D4777" w:rsidRPr="002D6B0E" w:rsidRDefault="002D4777" w:rsidP="00091655">
      <w:pPr>
        <w:numPr>
          <w:ilvl w:val="0"/>
          <w:numId w:val="26"/>
        </w:numPr>
        <w:ind w:hanging="71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Belge transferi gerçekleştirilen kuruluşun, belgelendirme sertifikası ve belgelendirme dosyası, </w:t>
      </w:r>
      <w:r w:rsidRPr="002D6B0E">
        <w:rPr>
          <w:b/>
          <w:sz w:val="22"/>
          <w:szCs w:val="22"/>
        </w:rPr>
        <w:t>PR.015 Sertifikanın Hazır</w:t>
      </w:r>
      <w:r w:rsidR="00091655" w:rsidRPr="002D6B0E">
        <w:rPr>
          <w:b/>
          <w:sz w:val="22"/>
          <w:szCs w:val="22"/>
        </w:rPr>
        <w:t>l</w:t>
      </w:r>
      <w:r w:rsidRPr="002D6B0E">
        <w:rPr>
          <w:b/>
          <w:sz w:val="22"/>
          <w:szCs w:val="22"/>
        </w:rPr>
        <w:t>anması ve Müşteriye Sunumu Prose</w:t>
      </w:r>
      <w:r w:rsidR="00091655" w:rsidRPr="002D6B0E">
        <w:rPr>
          <w:b/>
          <w:sz w:val="22"/>
          <w:szCs w:val="22"/>
        </w:rPr>
        <w:t>d</w:t>
      </w:r>
      <w:r w:rsidRPr="002D6B0E">
        <w:rPr>
          <w:b/>
          <w:sz w:val="22"/>
          <w:szCs w:val="22"/>
        </w:rPr>
        <w:t>ürü</w:t>
      </w:r>
      <w:r w:rsidRPr="002D6B0E">
        <w:rPr>
          <w:sz w:val="22"/>
          <w:szCs w:val="22"/>
        </w:rPr>
        <w:t xml:space="preserve">’ ne uygun olarak hazırlanan ve müşteriye teslim edilir. </w:t>
      </w:r>
    </w:p>
    <w:p w14:paraId="433383D3" w14:textId="77777777" w:rsidR="00F52F80" w:rsidRPr="002D6B0E" w:rsidRDefault="00F52F80" w:rsidP="00F52F80">
      <w:pPr>
        <w:pStyle w:val="ListeParagraf"/>
        <w:ind w:left="709"/>
        <w:jc w:val="both"/>
        <w:rPr>
          <w:sz w:val="22"/>
          <w:szCs w:val="22"/>
        </w:rPr>
      </w:pPr>
    </w:p>
    <w:p w14:paraId="2A551603" w14:textId="77777777" w:rsidR="00F52F80" w:rsidRPr="002D6B0E" w:rsidRDefault="00F52F80" w:rsidP="00F14A0E">
      <w:pPr>
        <w:numPr>
          <w:ilvl w:val="0"/>
          <w:numId w:val="8"/>
        </w:numPr>
        <w:ind w:left="709" w:firstLine="0"/>
        <w:jc w:val="both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KAYITLAR</w:t>
      </w:r>
    </w:p>
    <w:p w14:paraId="1D3A3B32" w14:textId="77777777" w:rsidR="00F52F80" w:rsidRPr="002D6B0E" w:rsidRDefault="00F52F80" w:rsidP="00F52F80">
      <w:pPr>
        <w:ind w:left="709"/>
        <w:jc w:val="both"/>
        <w:rPr>
          <w:sz w:val="22"/>
          <w:szCs w:val="22"/>
        </w:rPr>
      </w:pPr>
    </w:p>
    <w:p w14:paraId="5DFDB94A" w14:textId="77777777" w:rsidR="00F52F80" w:rsidRPr="002D6B0E" w:rsidRDefault="00091655" w:rsidP="00F52F80">
      <w:pPr>
        <w:ind w:left="709"/>
        <w:jc w:val="both"/>
        <w:rPr>
          <w:sz w:val="22"/>
          <w:szCs w:val="22"/>
        </w:rPr>
      </w:pPr>
      <w:r w:rsidRPr="002D6B0E">
        <w:rPr>
          <w:sz w:val="22"/>
          <w:szCs w:val="22"/>
        </w:rPr>
        <w:t xml:space="preserve">FR.041 </w:t>
      </w:r>
      <w:r w:rsidRPr="002D6B0E">
        <w:rPr>
          <w:sz w:val="22"/>
          <w:szCs w:val="22"/>
        </w:rPr>
        <w:tab/>
        <w:t>Belge Transferi</w:t>
      </w:r>
      <w:r w:rsidR="00F52F80" w:rsidRPr="002D6B0E">
        <w:rPr>
          <w:sz w:val="22"/>
          <w:szCs w:val="22"/>
        </w:rPr>
        <w:t xml:space="preserve"> Bilgi Formu</w:t>
      </w:r>
    </w:p>
    <w:p w14:paraId="69BA3AB3" w14:textId="77777777" w:rsidR="00091655" w:rsidRPr="002D6B0E" w:rsidRDefault="00091655" w:rsidP="00B72025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14:paraId="286AD7AB" w14:textId="77777777" w:rsidR="004B7C65" w:rsidRPr="002D6B0E" w:rsidRDefault="004B7C65" w:rsidP="00E72252">
      <w:pPr>
        <w:spacing w:line="360" w:lineRule="auto"/>
        <w:ind w:left="709" w:right="152"/>
        <w:rPr>
          <w:b/>
          <w:sz w:val="22"/>
          <w:szCs w:val="22"/>
        </w:rPr>
      </w:pPr>
      <w:r w:rsidRPr="002D6B0E">
        <w:rPr>
          <w:b/>
          <w:sz w:val="22"/>
          <w:szCs w:val="22"/>
        </w:rPr>
        <w:t>6.0 REVİZYON SAYFASI</w:t>
      </w:r>
    </w:p>
    <w:p w14:paraId="25E09184" w14:textId="77777777" w:rsidR="004B7C65" w:rsidRPr="002D6B0E" w:rsidRDefault="004B7C65" w:rsidP="004B7C65">
      <w:pPr>
        <w:ind w:left="36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670"/>
      </w:tblGrid>
      <w:tr w:rsidR="004B7C65" w:rsidRPr="002D6B0E" w14:paraId="65F4398E" w14:textId="77777777" w:rsidTr="007A4AAD">
        <w:trPr>
          <w:trHeight w:val="557"/>
        </w:trPr>
        <w:tc>
          <w:tcPr>
            <w:tcW w:w="1809" w:type="dxa"/>
            <w:vAlign w:val="center"/>
          </w:tcPr>
          <w:p w14:paraId="333B38FD" w14:textId="77777777" w:rsidR="004B7C65" w:rsidRPr="002D6B0E" w:rsidRDefault="004B7C65" w:rsidP="007A4AAD">
            <w:pPr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 xml:space="preserve">REVİZYON </w:t>
            </w:r>
          </w:p>
          <w:p w14:paraId="0206190E" w14:textId="77777777" w:rsidR="004B7C65" w:rsidRPr="002D6B0E" w:rsidRDefault="004B7C65" w:rsidP="007A4AAD">
            <w:pPr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3EFBEB14" w14:textId="77777777" w:rsidR="004B7C65" w:rsidRPr="002D6B0E" w:rsidRDefault="004B7C65" w:rsidP="007A4AAD">
            <w:pPr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>REV.</w:t>
            </w:r>
          </w:p>
          <w:p w14:paraId="61763290" w14:textId="77777777" w:rsidR="004B7C65" w:rsidRPr="002D6B0E" w:rsidRDefault="004B7C65" w:rsidP="007A4AAD">
            <w:pPr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14:paraId="0E7E960F" w14:textId="77777777" w:rsidR="004B7C65" w:rsidRPr="002D6B0E" w:rsidRDefault="004B7C65" w:rsidP="007A4AAD">
            <w:pPr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>MADDE NO</w:t>
            </w:r>
          </w:p>
        </w:tc>
        <w:tc>
          <w:tcPr>
            <w:tcW w:w="5670" w:type="dxa"/>
            <w:vAlign w:val="center"/>
          </w:tcPr>
          <w:p w14:paraId="294F6576" w14:textId="77777777" w:rsidR="004B7C65" w:rsidRPr="002D6B0E" w:rsidRDefault="004B7C65" w:rsidP="007A4AAD">
            <w:pPr>
              <w:ind w:left="35"/>
              <w:jc w:val="center"/>
              <w:rPr>
                <w:b/>
                <w:sz w:val="22"/>
                <w:szCs w:val="22"/>
              </w:rPr>
            </w:pPr>
            <w:r w:rsidRPr="002D6B0E">
              <w:rPr>
                <w:b/>
                <w:sz w:val="22"/>
                <w:szCs w:val="22"/>
              </w:rPr>
              <w:t>YAPILAN REVİZYONUN AÇIKLANMASI</w:t>
            </w:r>
          </w:p>
        </w:tc>
      </w:tr>
      <w:tr w:rsidR="004B7C65" w:rsidRPr="002D6B0E" w14:paraId="38158780" w14:textId="77777777" w:rsidTr="007A4AAD">
        <w:trPr>
          <w:trHeight w:val="836"/>
        </w:trPr>
        <w:tc>
          <w:tcPr>
            <w:tcW w:w="1809" w:type="dxa"/>
            <w:vAlign w:val="center"/>
          </w:tcPr>
          <w:p w14:paraId="6550E6AF" w14:textId="77777777" w:rsidR="004B7C65" w:rsidRPr="002D6B0E" w:rsidRDefault="004B7C65" w:rsidP="007A4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AEA934" w14:textId="77777777" w:rsidR="004B7C65" w:rsidRPr="002D6B0E" w:rsidRDefault="004B7C65" w:rsidP="007A4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69E23BB" w14:textId="77777777" w:rsidR="004B7C65" w:rsidRPr="002D6B0E" w:rsidRDefault="004B7C65" w:rsidP="007A4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BCD8FE2" w14:textId="77777777" w:rsidR="004B7C65" w:rsidRPr="002D6B0E" w:rsidRDefault="004B7C65" w:rsidP="007A4AAD">
            <w:pPr>
              <w:rPr>
                <w:sz w:val="18"/>
                <w:szCs w:val="18"/>
              </w:rPr>
            </w:pPr>
          </w:p>
        </w:tc>
      </w:tr>
    </w:tbl>
    <w:p w14:paraId="2CFC0E65" w14:textId="77777777" w:rsidR="00091655" w:rsidRPr="002D6B0E" w:rsidRDefault="00091655" w:rsidP="00B72025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sectPr w:rsidR="00091655" w:rsidRPr="002D6B0E" w:rsidSect="004452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707" w:bottom="284" w:left="567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4077" w14:textId="77777777" w:rsidR="00F11EEE" w:rsidRDefault="00F11EEE">
      <w:r>
        <w:separator/>
      </w:r>
    </w:p>
  </w:endnote>
  <w:endnote w:type="continuationSeparator" w:id="0">
    <w:p w14:paraId="1BA3A807" w14:textId="77777777" w:rsidR="00F11EEE" w:rsidRDefault="00F1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8F174" w14:textId="77777777" w:rsidR="00246FFD" w:rsidRDefault="00246F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7"/>
      <w:gridCol w:w="4898"/>
    </w:tblGrid>
    <w:tr w:rsidR="00CF0D89" w:rsidRPr="00CF0D89" w14:paraId="7E1391F5" w14:textId="77777777" w:rsidTr="00E84684">
      <w:trPr>
        <w:trHeight w:val="1250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4A839C8C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14:paraId="361975C3" w14:textId="77777777"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09C77796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14:paraId="44435C61" w14:textId="77777777"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14:paraId="673BD97E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4FD36661" w14:textId="77777777"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9669" w14:textId="77777777" w:rsidR="00246FFD" w:rsidRDefault="00246F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0AD0" w14:textId="77777777" w:rsidR="00F11EEE" w:rsidRDefault="00F11EEE">
      <w:r>
        <w:separator/>
      </w:r>
    </w:p>
  </w:footnote>
  <w:footnote w:type="continuationSeparator" w:id="0">
    <w:p w14:paraId="513DE6EB" w14:textId="77777777" w:rsidR="00F11EEE" w:rsidRDefault="00F1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E3C97" w14:textId="77777777" w:rsidR="00246FFD" w:rsidRDefault="00246F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14:paraId="40547BA6" w14:textId="77777777" w:rsidTr="00F168CA">
      <w:trPr>
        <w:trHeight w:val="403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A74693" w14:textId="645C8402" w:rsidR="00AF4098" w:rsidRDefault="00EA08CB" w:rsidP="001135BB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448DA0B" wp14:editId="16B622AA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58420</wp:posOffset>
                    </wp:positionV>
                    <wp:extent cx="1352550" cy="790575"/>
                    <wp:effectExtent l="0" t="1270" r="3175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1B030" w14:textId="37F2DA72" w:rsidR="00B72025" w:rsidRDefault="00EA08CB" w:rsidP="00B7202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203787B" wp14:editId="52C3ADE4">
                                      <wp:extent cx="1171575" cy="771525"/>
                                      <wp:effectExtent l="0" t="0" r="0" b="0"/>
                                      <wp:docPr id="2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48DA0B" id="Rectangle 10" o:spid="_x0000_s1026" style="position:absolute;left:0;text-align:left;margin-left:5pt;margin-top:4.6pt;width:106.5pt;height:6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" stroked="f">
                    <v:textbox>
                      <w:txbxContent>
                        <w:p w14:paraId="19E1B030" w14:textId="37F2DA72" w:rsidR="00B72025" w:rsidRDefault="00EA08CB" w:rsidP="00B720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3787B" wp14:editId="52C3ADE4">
                                <wp:extent cx="1171575" cy="771525"/>
                                <wp:effectExtent l="0" t="0" r="0" b="0"/>
                                <wp:docPr id="2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D4B40B4" w14:textId="77777777" w:rsidR="00AF4098" w:rsidRDefault="00AF4098" w:rsidP="001135BB">
          <w:pPr>
            <w:jc w:val="center"/>
          </w:pPr>
        </w:p>
        <w:p w14:paraId="7AFE2848" w14:textId="77777777" w:rsidR="00AF4098" w:rsidRPr="00B94931" w:rsidRDefault="00AF4098" w:rsidP="001135BB">
          <w:pPr>
            <w:jc w:val="center"/>
          </w:pPr>
        </w:p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35C4BC5" w14:textId="77777777" w:rsidR="00AF4098" w:rsidRPr="00B72025" w:rsidRDefault="00B72025" w:rsidP="001135BB">
          <w:pPr>
            <w:pStyle w:val="stbilgi"/>
            <w:jc w:val="center"/>
            <w:rPr>
              <w:rFonts w:ascii="Arial Narrow" w:hAnsi="Arial Narrow"/>
              <w:b/>
            </w:rPr>
          </w:pPr>
          <w:r w:rsidRPr="00B72025">
            <w:rPr>
              <w:rFonts w:ascii="Arial Narrow" w:hAnsi="Arial Narrow"/>
              <w:b/>
              <w:sz w:val="16"/>
            </w:rPr>
            <w:t>TS EN ISO/IEC 17021 SİSTEM DOKÜMANTASYONU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06D3708E" w14:textId="77777777"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14:paraId="78919C99" w14:textId="77777777"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14:paraId="05318F73" w14:textId="77777777"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14:paraId="5958D79D" w14:textId="77777777" w:rsidR="00BC244D" w:rsidRPr="001135BB" w:rsidRDefault="00DF1716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PR.021</w:t>
          </w:r>
        </w:p>
      </w:tc>
    </w:tr>
    <w:tr w:rsidR="00AF4098" w:rsidRPr="001135BB" w14:paraId="2F985AA9" w14:textId="77777777" w:rsidTr="00F168CA">
      <w:trPr>
        <w:trHeight w:val="424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4187270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8EAF214" w14:textId="77777777"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55B65E" w14:textId="77777777" w:rsidR="00AF4098" w:rsidRPr="00F52F80" w:rsidRDefault="004E428B" w:rsidP="004E428B">
          <w:pPr>
            <w:pStyle w:val="stbilgi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 xml:space="preserve">BELGE TRANSFERİ </w:t>
          </w:r>
          <w:r w:rsidR="00F52F80" w:rsidRPr="00F52F80">
            <w:rPr>
              <w:rFonts w:ascii="Arial Narrow" w:hAnsi="Arial Narrow"/>
              <w:sz w:val="18"/>
              <w:szCs w:val="18"/>
            </w:rPr>
            <w:t>PROSEDÜRÜ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7B420A76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28581E9D" w14:textId="77777777" w:rsidTr="00F168CA">
      <w:trPr>
        <w:trHeight w:val="290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2DAE0BC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EC4FE2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1C164CE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44D2D4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58FE5D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1B22FD32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7CEE15FC" w14:textId="77777777" w:rsidTr="00F168CA">
      <w:trPr>
        <w:trHeight w:val="266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79B3065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79C77D7" w14:textId="77777777" w:rsidR="00AF4098" w:rsidRPr="001135BB" w:rsidRDefault="00246FFD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01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AE7B8D" w14:textId="77777777" w:rsidR="00AF4098" w:rsidRPr="001135BB" w:rsidRDefault="00246FFD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24.02.2017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8C6A138" w14:textId="77777777" w:rsidR="00AF4098" w:rsidRPr="001135BB" w:rsidRDefault="00E72252" w:rsidP="00B72025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22.08.2016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23C8BF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246FFD">
            <w:rPr>
              <w:rStyle w:val="SayfaNumaras"/>
              <w:rFonts w:ascii="Arial Narrow" w:hAnsi="Arial Narrow"/>
              <w:noProof/>
              <w:sz w:val="16"/>
              <w:szCs w:val="16"/>
            </w:rPr>
            <w:t>1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246FFD">
            <w:rPr>
              <w:rStyle w:val="SayfaNumaras"/>
              <w:rFonts w:ascii="Arial Narrow" w:hAnsi="Arial Narrow"/>
              <w:noProof/>
              <w:sz w:val="16"/>
              <w:szCs w:val="16"/>
            </w:rPr>
            <w:t>4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2D91457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</w:tbl>
  <w:p w14:paraId="54CE5038" w14:textId="77777777" w:rsidR="009D5D14" w:rsidRPr="009D5D14" w:rsidRDefault="009D5D14">
    <w:pPr>
      <w:pStyle w:val="stbilgi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5A51" w14:textId="77777777" w:rsidR="00246FFD" w:rsidRDefault="00246F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1D0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42023"/>
    <w:multiLevelType w:val="multilevel"/>
    <w:tmpl w:val="465233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2574CE0"/>
    <w:multiLevelType w:val="multilevel"/>
    <w:tmpl w:val="5E12610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6FD2BB8"/>
    <w:multiLevelType w:val="hybridMultilevel"/>
    <w:tmpl w:val="C9F694AC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06E60"/>
    <w:multiLevelType w:val="multilevel"/>
    <w:tmpl w:val="7F0C50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56BAA"/>
    <w:multiLevelType w:val="hybridMultilevel"/>
    <w:tmpl w:val="2EEC6D84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F631D"/>
    <w:multiLevelType w:val="hybridMultilevel"/>
    <w:tmpl w:val="423C52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062"/>
    <w:multiLevelType w:val="hybridMultilevel"/>
    <w:tmpl w:val="BC861162"/>
    <w:lvl w:ilvl="0" w:tplc="64687AA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5D971DA"/>
    <w:multiLevelType w:val="hybridMultilevel"/>
    <w:tmpl w:val="2C5E9528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5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5D0FF8"/>
    <w:multiLevelType w:val="hybridMultilevel"/>
    <w:tmpl w:val="7E62DF62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DA412B"/>
    <w:multiLevelType w:val="hybridMultilevel"/>
    <w:tmpl w:val="98AC7EAA"/>
    <w:lvl w:ilvl="0" w:tplc="041F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8" w15:restartNumberingAfterBreak="0">
    <w:nsid w:val="5A06665D"/>
    <w:multiLevelType w:val="hybridMultilevel"/>
    <w:tmpl w:val="44EEE93C"/>
    <w:lvl w:ilvl="0" w:tplc="2780D2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7BF3"/>
    <w:multiLevelType w:val="hybridMultilevel"/>
    <w:tmpl w:val="E826768C"/>
    <w:lvl w:ilvl="0" w:tplc="E424CC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F56FC2"/>
    <w:multiLevelType w:val="hybridMultilevel"/>
    <w:tmpl w:val="60F62C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A7CAE"/>
    <w:multiLevelType w:val="hybridMultilevel"/>
    <w:tmpl w:val="C452F1E2"/>
    <w:lvl w:ilvl="0" w:tplc="CF14BC0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85365BB"/>
    <w:multiLevelType w:val="hybridMultilevel"/>
    <w:tmpl w:val="0D00119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4346D"/>
    <w:multiLevelType w:val="hybridMultilevel"/>
    <w:tmpl w:val="E50E0F56"/>
    <w:lvl w:ilvl="0" w:tplc="041F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"/>
  </w:num>
  <w:num w:numId="5">
    <w:abstractNumId w:val="19"/>
  </w:num>
  <w:num w:numId="6">
    <w:abstractNumId w:val="20"/>
  </w:num>
  <w:num w:numId="7">
    <w:abstractNumId w:val="15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7"/>
  </w:num>
  <w:num w:numId="14">
    <w:abstractNumId w:val="10"/>
  </w:num>
  <w:num w:numId="15">
    <w:abstractNumId w:val="6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17"/>
  </w:num>
  <w:num w:numId="21">
    <w:abstractNumId w:val="18"/>
  </w:num>
  <w:num w:numId="22">
    <w:abstractNumId w:val="22"/>
  </w:num>
  <w:num w:numId="23">
    <w:abstractNumId w:val="25"/>
  </w:num>
  <w:num w:numId="24">
    <w:abstractNumId w:val="12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4"/>
    <w:rsid w:val="000144C8"/>
    <w:rsid w:val="000241F2"/>
    <w:rsid w:val="000370EB"/>
    <w:rsid w:val="00042DA0"/>
    <w:rsid w:val="000530D5"/>
    <w:rsid w:val="0005753A"/>
    <w:rsid w:val="000638E9"/>
    <w:rsid w:val="00090665"/>
    <w:rsid w:val="00091655"/>
    <w:rsid w:val="000971B5"/>
    <w:rsid w:val="000A6F50"/>
    <w:rsid w:val="000B7895"/>
    <w:rsid w:val="000C558C"/>
    <w:rsid w:val="000C616D"/>
    <w:rsid w:val="000E5E64"/>
    <w:rsid w:val="000F315E"/>
    <w:rsid w:val="00100DEF"/>
    <w:rsid w:val="001135BB"/>
    <w:rsid w:val="00113EB1"/>
    <w:rsid w:val="00133DBA"/>
    <w:rsid w:val="00150392"/>
    <w:rsid w:val="0015595A"/>
    <w:rsid w:val="00157B4D"/>
    <w:rsid w:val="00160542"/>
    <w:rsid w:val="00170F0A"/>
    <w:rsid w:val="001734B3"/>
    <w:rsid w:val="00184927"/>
    <w:rsid w:val="001A6497"/>
    <w:rsid w:val="001C3A39"/>
    <w:rsid w:val="001E11D0"/>
    <w:rsid w:val="001E4463"/>
    <w:rsid w:val="001E63F4"/>
    <w:rsid w:val="001E7F8F"/>
    <w:rsid w:val="001F3579"/>
    <w:rsid w:val="00242CCB"/>
    <w:rsid w:val="00246FFD"/>
    <w:rsid w:val="00250844"/>
    <w:rsid w:val="0025698B"/>
    <w:rsid w:val="002915AE"/>
    <w:rsid w:val="002D4777"/>
    <w:rsid w:val="002D6188"/>
    <w:rsid w:val="002D6B0E"/>
    <w:rsid w:val="002E408F"/>
    <w:rsid w:val="002F7F46"/>
    <w:rsid w:val="003061CA"/>
    <w:rsid w:val="003108E0"/>
    <w:rsid w:val="0031686B"/>
    <w:rsid w:val="00317BC7"/>
    <w:rsid w:val="00334758"/>
    <w:rsid w:val="003350B4"/>
    <w:rsid w:val="00360A0D"/>
    <w:rsid w:val="00362AAA"/>
    <w:rsid w:val="00366485"/>
    <w:rsid w:val="0037041E"/>
    <w:rsid w:val="00380512"/>
    <w:rsid w:val="003A29A6"/>
    <w:rsid w:val="003D092E"/>
    <w:rsid w:val="003D32C9"/>
    <w:rsid w:val="003E4527"/>
    <w:rsid w:val="003F1698"/>
    <w:rsid w:val="00406A57"/>
    <w:rsid w:val="0044529C"/>
    <w:rsid w:val="00454E16"/>
    <w:rsid w:val="00456D78"/>
    <w:rsid w:val="00467CF8"/>
    <w:rsid w:val="00494BDD"/>
    <w:rsid w:val="00495711"/>
    <w:rsid w:val="004A13F1"/>
    <w:rsid w:val="004B7C65"/>
    <w:rsid w:val="004C4464"/>
    <w:rsid w:val="004D048E"/>
    <w:rsid w:val="004E30E1"/>
    <w:rsid w:val="004E428B"/>
    <w:rsid w:val="004E73A2"/>
    <w:rsid w:val="004F627D"/>
    <w:rsid w:val="00501285"/>
    <w:rsid w:val="005122E7"/>
    <w:rsid w:val="0052541E"/>
    <w:rsid w:val="005750AE"/>
    <w:rsid w:val="005828A9"/>
    <w:rsid w:val="0058320D"/>
    <w:rsid w:val="00591AA0"/>
    <w:rsid w:val="005C1F2B"/>
    <w:rsid w:val="005D0BD6"/>
    <w:rsid w:val="005D673A"/>
    <w:rsid w:val="005E07B4"/>
    <w:rsid w:val="005F5AEC"/>
    <w:rsid w:val="00602D46"/>
    <w:rsid w:val="006230E8"/>
    <w:rsid w:val="00625EEF"/>
    <w:rsid w:val="00642F0E"/>
    <w:rsid w:val="006466F6"/>
    <w:rsid w:val="0065625A"/>
    <w:rsid w:val="00657C05"/>
    <w:rsid w:val="00666489"/>
    <w:rsid w:val="0067360F"/>
    <w:rsid w:val="00690224"/>
    <w:rsid w:val="00690B84"/>
    <w:rsid w:val="006966DF"/>
    <w:rsid w:val="006A589E"/>
    <w:rsid w:val="006C3ECC"/>
    <w:rsid w:val="00703659"/>
    <w:rsid w:val="00704DD0"/>
    <w:rsid w:val="007062BF"/>
    <w:rsid w:val="00717506"/>
    <w:rsid w:val="007176D3"/>
    <w:rsid w:val="00720982"/>
    <w:rsid w:val="00722AF5"/>
    <w:rsid w:val="00746180"/>
    <w:rsid w:val="00752FD7"/>
    <w:rsid w:val="00755F05"/>
    <w:rsid w:val="00761E34"/>
    <w:rsid w:val="0077276E"/>
    <w:rsid w:val="007932FC"/>
    <w:rsid w:val="0079435E"/>
    <w:rsid w:val="00795C68"/>
    <w:rsid w:val="007A4AAD"/>
    <w:rsid w:val="007B6280"/>
    <w:rsid w:val="007D39E2"/>
    <w:rsid w:val="007F6858"/>
    <w:rsid w:val="00847739"/>
    <w:rsid w:val="00871B30"/>
    <w:rsid w:val="008772E8"/>
    <w:rsid w:val="00880DB4"/>
    <w:rsid w:val="008967C5"/>
    <w:rsid w:val="008B5A96"/>
    <w:rsid w:val="008C63D8"/>
    <w:rsid w:val="008D6C29"/>
    <w:rsid w:val="008D6DAF"/>
    <w:rsid w:val="008E0929"/>
    <w:rsid w:val="009238FD"/>
    <w:rsid w:val="00934799"/>
    <w:rsid w:val="00935689"/>
    <w:rsid w:val="00961905"/>
    <w:rsid w:val="00967A82"/>
    <w:rsid w:val="009A3E23"/>
    <w:rsid w:val="009A41D5"/>
    <w:rsid w:val="009A4FAF"/>
    <w:rsid w:val="009C0AAC"/>
    <w:rsid w:val="009D5D14"/>
    <w:rsid w:val="00A14524"/>
    <w:rsid w:val="00A202F4"/>
    <w:rsid w:val="00A23BBD"/>
    <w:rsid w:val="00A327ED"/>
    <w:rsid w:val="00A34868"/>
    <w:rsid w:val="00A42774"/>
    <w:rsid w:val="00A96BDB"/>
    <w:rsid w:val="00AA1D4D"/>
    <w:rsid w:val="00AA5373"/>
    <w:rsid w:val="00AC5C0E"/>
    <w:rsid w:val="00AE07B6"/>
    <w:rsid w:val="00AE29DD"/>
    <w:rsid w:val="00AE5DC6"/>
    <w:rsid w:val="00AF4098"/>
    <w:rsid w:val="00B02226"/>
    <w:rsid w:val="00B36979"/>
    <w:rsid w:val="00B41DA1"/>
    <w:rsid w:val="00B54610"/>
    <w:rsid w:val="00B646FD"/>
    <w:rsid w:val="00B6619D"/>
    <w:rsid w:val="00B71F3B"/>
    <w:rsid w:val="00B72025"/>
    <w:rsid w:val="00B7420C"/>
    <w:rsid w:val="00B90989"/>
    <w:rsid w:val="00B94931"/>
    <w:rsid w:val="00BA23C5"/>
    <w:rsid w:val="00BC244D"/>
    <w:rsid w:val="00BD6D17"/>
    <w:rsid w:val="00BE56BB"/>
    <w:rsid w:val="00BF3D21"/>
    <w:rsid w:val="00C070E8"/>
    <w:rsid w:val="00C14304"/>
    <w:rsid w:val="00C30A36"/>
    <w:rsid w:val="00C32CDA"/>
    <w:rsid w:val="00C4268D"/>
    <w:rsid w:val="00C47EBF"/>
    <w:rsid w:val="00C63F14"/>
    <w:rsid w:val="00C832EF"/>
    <w:rsid w:val="00C83EA6"/>
    <w:rsid w:val="00C95258"/>
    <w:rsid w:val="00CA3235"/>
    <w:rsid w:val="00CA348D"/>
    <w:rsid w:val="00CC5534"/>
    <w:rsid w:val="00CE4238"/>
    <w:rsid w:val="00CF0D89"/>
    <w:rsid w:val="00D0544F"/>
    <w:rsid w:val="00D16F8A"/>
    <w:rsid w:val="00D23853"/>
    <w:rsid w:val="00D54457"/>
    <w:rsid w:val="00D60A3C"/>
    <w:rsid w:val="00D75152"/>
    <w:rsid w:val="00D77DB0"/>
    <w:rsid w:val="00D82BD2"/>
    <w:rsid w:val="00D97552"/>
    <w:rsid w:val="00DB6492"/>
    <w:rsid w:val="00DC0DF1"/>
    <w:rsid w:val="00DC1D16"/>
    <w:rsid w:val="00DD00C9"/>
    <w:rsid w:val="00DD1A6C"/>
    <w:rsid w:val="00DE3847"/>
    <w:rsid w:val="00DF1716"/>
    <w:rsid w:val="00E016F2"/>
    <w:rsid w:val="00E45E18"/>
    <w:rsid w:val="00E5427C"/>
    <w:rsid w:val="00E54B05"/>
    <w:rsid w:val="00E602D2"/>
    <w:rsid w:val="00E64E23"/>
    <w:rsid w:val="00E72252"/>
    <w:rsid w:val="00E84684"/>
    <w:rsid w:val="00EA08CB"/>
    <w:rsid w:val="00EB0F6B"/>
    <w:rsid w:val="00EC4A3C"/>
    <w:rsid w:val="00ED01A6"/>
    <w:rsid w:val="00EF27BB"/>
    <w:rsid w:val="00EF6E1A"/>
    <w:rsid w:val="00EF77D8"/>
    <w:rsid w:val="00F055CB"/>
    <w:rsid w:val="00F11EEE"/>
    <w:rsid w:val="00F14A0E"/>
    <w:rsid w:val="00F168CA"/>
    <w:rsid w:val="00F34AF0"/>
    <w:rsid w:val="00F52F80"/>
    <w:rsid w:val="00F73648"/>
    <w:rsid w:val="00F81232"/>
    <w:rsid w:val="00F86DD1"/>
    <w:rsid w:val="00F87195"/>
    <w:rsid w:val="00FA0856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112D4B"/>
  <w15:chartTrackingRefBased/>
  <w15:docId w15:val="{863C6967-28A2-45C2-808F-B48A030D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9D5D1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character" w:styleId="Kpr">
    <w:name w:val="Hyperlink"/>
    <w:rsid w:val="00F52F80"/>
    <w:rPr>
      <w:color w:val="0000FF"/>
      <w:u w:val="single"/>
    </w:rPr>
  </w:style>
  <w:style w:type="character" w:styleId="Gl">
    <w:name w:val="Strong"/>
    <w:uiPriority w:val="22"/>
    <w:qFormat/>
    <w:rsid w:val="00F8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f.nu/upFiles/127162.IAF-MD2-2007_Transfer_of_Certification_Pub2.pdf" TargetMode="External"/><Relationship Id="rId13" Type="http://schemas.openxmlformats.org/officeDocument/2006/relationships/hyperlink" Target="http://www.iaf.nu/upFiles/IAFMD32008_ASRP_Pub_issue_1_v2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af.nu/upFiles/127162.IAF-MD2-2007_Transfer_of_Certification_Pub2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f.nu/upFiles/IAFMD32008_ASRP_Pub_issue_1_v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gap.com.t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af.nu/upFiles/127162.IAF-MD2-2007_Transfer_of_Certification_Pub2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af.nu/upFiles/IAFMD32008_ASRP_Pub_issue_1_v2.pdf" TargetMode="External"/><Relationship Id="rId14" Type="http://schemas.openxmlformats.org/officeDocument/2006/relationships/hyperlink" Target="http://www.eurogap.com.t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7511-993B-4D79-97F2-B278EB06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8824</CharactersWithSpaces>
  <SharedDoc>false</SharedDoc>
  <HLinks>
    <vt:vector size="48" baseType="variant">
      <vt:variant>
        <vt:i4>8257590</vt:i4>
      </vt:variant>
      <vt:variant>
        <vt:i4>21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  <vt:variant>
        <vt:i4>8257590</vt:i4>
      </vt:variant>
      <vt:variant>
        <vt:i4>18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  <vt:variant>
        <vt:i4>4522347</vt:i4>
      </vt:variant>
      <vt:variant>
        <vt:i4>15</vt:i4>
      </vt:variant>
      <vt:variant>
        <vt:i4>0</vt:i4>
      </vt:variant>
      <vt:variant>
        <vt:i4>5</vt:i4>
      </vt:variant>
      <vt:variant>
        <vt:lpwstr>http://www.iaf.nu/upFiles/IAFMD32008_ASRP_Pub_issue_1_v2.pdf</vt:lpwstr>
      </vt:variant>
      <vt:variant>
        <vt:lpwstr/>
      </vt:variant>
      <vt:variant>
        <vt:i4>23789679</vt:i4>
      </vt:variant>
      <vt:variant>
        <vt:i4>12</vt:i4>
      </vt:variant>
      <vt:variant>
        <vt:i4>0</vt:i4>
      </vt:variant>
      <vt:variant>
        <vt:i4>5</vt:i4>
      </vt:variant>
      <vt:variant>
        <vt:lpwstr>http://www.iaf.nu/upFiles/127162.IAF-MD2-2007_Transfer_of_Certification_Pub2.pdf</vt:lpwstr>
      </vt:variant>
      <vt:variant>
        <vt:lpwstr/>
      </vt:variant>
      <vt:variant>
        <vt:i4>4522347</vt:i4>
      </vt:variant>
      <vt:variant>
        <vt:i4>9</vt:i4>
      </vt:variant>
      <vt:variant>
        <vt:i4>0</vt:i4>
      </vt:variant>
      <vt:variant>
        <vt:i4>5</vt:i4>
      </vt:variant>
      <vt:variant>
        <vt:lpwstr>http://www.iaf.nu/upFiles/IAFMD32008_ASRP_Pub_issue_1_v2.pdf</vt:lpwstr>
      </vt:variant>
      <vt:variant>
        <vt:lpwstr/>
      </vt:variant>
      <vt:variant>
        <vt:i4>23789679</vt:i4>
      </vt:variant>
      <vt:variant>
        <vt:i4>6</vt:i4>
      </vt:variant>
      <vt:variant>
        <vt:i4>0</vt:i4>
      </vt:variant>
      <vt:variant>
        <vt:i4>5</vt:i4>
      </vt:variant>
      <vt:variant>
        <vt:lpwstr>http://www.iaf.nu/upFiles/127162.IAF-MD2-2007_Transfer_of_Certification_Pub2.pdf</vt:lpwstr>
      </vt:variant>
      <vt:variant>
        <vt:lpwstr/>
      </vt:variant>
      <vt:variant>
        <vt:i4>4522347</vt:i4>
      </vt:variant>
      <vt:variant>
        <vt:i4>3</vt:i4>
      </vt:variant>
      <vt:variant>
        <vt:i4>0</vt:i4>
      </vt:variant>
      <vt:variant>
        <vt:i4>5</vt:i4>
      </vt:variant>
      <vt:variant>
        <vt:lpwstr>http://www.iaf.nu/upFiles/IAFMD32008_ASRP_Pub_issue_1_v2.pdf</vt:lpwstr>
      </vt:variant>
      <vt:variant>
        <vt:lpwstr/>
      </vt:variant>
      <vt:variant>
        <vt:i4>23789679</vt:i4>
      </vt:variant>
      <vt:variant>
        <vt:i4>0</vt:i4>
      </vt:variant>
      <vt:variant>
        <vt:i4>0</vt:i4>
      </vt:variant>
      <vt:variant>
        <vt:i4>5</vt:i4>
      </vt:variant>
      <vt:variant>
        <vt:lpwstr>http://www.iaf.nu/upFiles/127162.IAF-MD2-2007_Transfer_of_Certification_Pub2.pdf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Kalite_2</dc:creator>
  <cp:keywords/>
  <cp:lastModifiedBy>EGBS</cp:lastModifiedBy>
  <cp:revision>2</cp:revision>
  <cp:lastPrinted>2012-11-26T10:39:00Z</cp:lastPrinted>
  <dcterms:created xsi:type="dcterms:W3CDTF">2020-10-21T09:14:00Z</dcterms:created>
  <dcterms:modified xsi:type="dcterms:W3CDTF">2020-10-21T09:14:00Z</dcterms:modified>
</cp:coreProperties>
</file>