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86A1" w14:textId="79F76FAD" w:rsidR="006A73DE" w:rsidRDefault="006A73DE" w:rsidP="009925BB">
      <w:pPr>
        <w:pStyle w:val="Balk1"/>
        <w:numPr>
          <w:ilvl w:val="0"/>
          <w:numId w:val="9"/>
        </w:numPr>
      </w:pPr>
      <w:r>
        <w:t>AMAÇ</w:t>
      </w:r>
    </w:p>
    <w:p w14:paraId="51077D13" w14:textId="34B8D620" w:rsidR="006A73DE" w:rsidRDefault="006A73DE" w:rsidP="009925BB">
      <w:r>
        <w:t xml:space="preserve">Bu talimatın amacı, </w:t>
      </w:r>
      <w:r w:rsidR="0016384D" w:rsidRPr="0016384D">
        <w:t xml:space="preserve">herhangi bir belgelendirme kurumu tarafından </w:t>
      </w:r>
      <w:r w:rsidR="0016384D">
        <w:t xml:space="preserve">yönetim sistemi </w:t>
      </w:r>
      <w:r w:rsidR="0016384D" w:rsidRPr="0016384D">
        <w:t>belgelendirilmiş bir kuruluşun belgesini</w:t>
      </w:r>
      <w:r w:rsidR="0016384D">
        <w:t>n</w:t>
      </w:r>
      <w:r w:rsidR="0016384D" w:rsidRPr="0016384D">
        <w:t>, EUROGAP</w:t>
      </w:r>
      <w:r w:rsidR="0016384D">
        <w:t xml:space="preserve">’a </w:t>
      </w:r>
      <w:r w:rsidR="0016384D" w:rsidRPr="0016384D">
        <w:t xml:space="preserve">transfer (devir) etmek istemesi durumunda uygulanması gereken faaliyetlere ilişkin esasların </w:t>
      </w:r>
      <w:r w:rsidR="0016384D">
        <w:t xml:space="preserve">IAF MD 2:2017 çerçevesinde </w:t>
      </w:r>
      <w:r w:rsidR="0016384D" w:rsidRPr="0016384D">
        <w:t>belirlenmesidir.</w:t>
      </w:r>
    </w:p>
    <w:p w14:paraId="55B2BEC5" w14:textId="64282FD5" w:rsidR="006A73DE" w:rsidRDefault="006A73DE" w:rsidP="009925BB">
      <w:pPr>
        <w:pStyle w:val="Balk1"/>
        <w:numPr>
          <w:ilvl w:val="0"/>
          <w:numId w:val="9"/>
        </w:numPr>
      </w:pPr>
      <w:r>
        <w:t>KAPSAM</w:t>
      </w:r>
    </w:p>
    <w:p w14:paraId="62BA2D91" w14:textId="39E062AA" w:rsidR="006A73DE" w:rsidRDefault="006A73DE" w:rsidP="006A73DE">
      <w:r>
        <w:t xml:space="preserve">Bu talimat, </w:t>
      </w:r>
      <w:r w:rsidR="009925BB">
        <w:t>yönetim sistemleri belgelendirme faaliyetlerini kapsar.</w:t>
      </w:r>
    </w:p>
    <w:p w14:paraId="7FF204ED" w14:textId="3B87B190" w:rsidR="006A73DE" w:rsidRDefault="006A73DE" w:rsidP="009925BB">
      <w:pPr>
        <w:pStyle w:val="Balk1"/>
        <w:numPr>
          <w:ilvl w:val="0"/>
          <w:numId w:val="9"/>
        </w:numPr>
      </w:pPr>
      <w:r>
        <w:t>SORUMLULUK VE YETKİLER</w:t>
      </w:r>
    </w:p>
    <w:p w14:paraId="02B3F442" w14:textId="57F081FF" w:rsidR="006A73DE" w:rsidRDefault="009925BB" w:rsidP="006A73DE">
      <w:r>
        <w:t>Bu talimatın uygulanmasından Sistem Belgelendirme Yöneticisi sorumludur.</w:t>
      </w:r>
    </w:p>
    <w:p w14:paraId="530EE41B" w14:textId="7F7190C7" w:rsidR="006A73DE" w:rsidRDefault="006A73DE" w:rsidP="009925BB">
      <w:pPr>
        <w:pStyle w:val="Balk1"/>
        <w:numPr>
          <w:ilvl w:val="0"/>
          <w:numId w:val="9"/>
        </w:numPr>
      </w:pPr>
      <w:r>
        <w:t>UYGULAMA</w:t>
      </w:r>
    </w:p>
    <w:p w14:paraId="471A5B23" w14:textId="1A370A3B" w:rsidR="006A73DE" w:rsidRDefault="0016384D" w:rsidP="009925BB">
      <w:pPr>
        <w:pStyle w:val="Balk2"/>
        <w:numPr>
          <w:ilvl w:val="1"/>
          <w:numId w:val="9"/>
        </w:numPr>
      </w:pPr>
      <w:r>
        <w:t>BELGE TRANSFERİ KABUL ŞARTLARI</w:t>
      </w:r>
    </w:p>
    <w:p w14:paraId="42F5CC5A" w14:textId="49197A73" w:rsidR="0016384D" w:rsidRDefault="0016384D" w:rsidP="0016384D">
      <w:r>
        <w:t xml:space="preserve">Belge transferi, bir akredite belgelendirme kuruluşu tarafından verilen mevcut ve geçerli bir yönetim sistemi belgelendirmesinin EUROGAP tarafından belgelendirme amacıyla tanınmasıdır. </w:t>
      </w:r>
    </w:p>
    <w:p w14:paraId="3AEAB980" w14:textId="6093D5AB" w:rsidR="0016384D" w:rsidRDefault="0016384D" w:rsidP="0016384D">
      <w:r>
        <w:t>Sadece seviye 3'te bir IAF veya Bölgesel MLA imzacısı bir akreditasyon tarafından kapsanan ve uygun olduğu durumlarda seviye 4 ve 5 olan sertifikalar transfer edilebilir. Bu tür akreditasyonların kapsamına girmeyen sertifikalara sahip kuruluşlar yeni müşteri olarak kabul edilir.</w:t>
      </w:r>
    </w:p>
    <w:p w14:paraId="59DB34DF" w14:textId="1BBB78D0" w:rsidR="0016384D" w:rsidRDefault="0016384D" w:rsidP="0016384D">
      <w:r>
        <w:t>Sadece geçerli akredite edilmiş sertifikalar transfer edilir. Askıya alındığı bilinen belgeler transfer için kabul edilmez.</w:t>
      </w:r>
    </w:p>
    <w:p w14:paraId="56B2434B" w14:textId="6ED863C5" w:rsidR="0016384D" w:rsidRDefault="0016384D" w:rsidP="0016384D">
      <w:r>
        <w:t>Mevcut belgenin, faaliyetini durduran veya akreditasyonu sona eren, askıya alınan veya geri çekilen bir belgelendirme kuruluşu tarafından verildiği durumlarda, transfer 6 ay içinde veya belgenin süresi dolmadan (hangisi daha önceyse) tamamlanabilmesi gerekir. Bu gibi durumlarda, EUROGAP, TÜRKAK’ devirden önce bilgilendirir.</w:t>
      </w:r>
    </w:p>
    <w:p w14:paraId="4177C008" w14:textId="5AEAFB97" w:rsidR="0031123F" w:rsidRDefault="00531572" w:rsidP="0016384D">
      <w:r w:rsidRPr="00531572">
        <w:t xml:space="preserve">Herhangi bir nedenle belge hakkında </w:t>
      </w:r>
      <w:r>
        <w:t xml:space="preserve">mevcut belgeyi düzenleyen </w:t>
      </w:r>
      <w:r w:rsidRPr="00531572">
        <w:t>kuruluşla itiraz, şikâyet ya da anlaşmazlık nedeniyle hukuki sürecin devam ettiği kuruluşların belge transferi başvuruları kabul edilmez</w:t>
      </w:r>
      <w:r>
        <w:t>.</w:t>
      </w:r>
    </w:p>
    <w:p w14:paraId="2FA3D659" w14:textId="0D1B2F1F" w:rsidR="00531572" w:rsidRDefault="00531572" w:rsidP="0016384D">
      <w:r>
        <w:t>Talep eden kuruluşun piyasada kötü bir itibarının bulunması, y</w:t>
      </w:r>
      <w:r w:rsidRPr="00531572">
        <w:t>asadışı işler yaptığının bilinmesi ya da duyulması durumunda belge transferi yapılmaz.</w:t>
      </w:r>
    </w:p>
    <w:p w14:paraId="7193B7B1" w14:textId="50483164" w:rsidR="00531572" w:rsidRDefault="00531572" w:rsidP="0016384D">
      <w:r>
        <w:t>Kuruluşun belgelendirme kapsamının, EUROGAP’ın akredite olduğu kapsamla uyuşması gerekmektedir.</w:t>
      </w:r>
    </w:p>
    <w:p w14:paraId="7948605E" w14:textId="25F1CB22" w:rsidR="00531572" w:rsidRDefault="00531572" w:rsidP="0016384D">
      <w:r>
        <w:t>Kuruluşun transfer için tetkikinin, son tetkik tarihinden itibaren 12 ay içerisinde gerçekleştirilebilmesi mümkün olmalıdır.</w:t>
      </w:r>
    </w:p>
    <w:p w14:paraId="5A11DAF1" w14:textId="580B9381" w:rsidR="00531572" w:rsidRDefault="00531572" w:rsidP="0016384D">
      <w:r>
        <w:t>Yukarıdaki şartların karşılanamaması halinde, transfer talebi kabul edilmez ve talep sahibine yazılı veya e-posta ile bildirimde bulunulur.</w:t>
      </w:r>
    </w:p>
    <w:p w14:paraId="198E666E" w14:textId="5F897770" w:rsidR="00531572" w:rsidRDefault="00531572" w:rsidP="00531572">
      <w:pPr>
        <w:pStyle w:val="Balk2"/>
        <w:numPr>
          <w:ilvl w:val="1"/>
          <w:numId w:val="9"/>
        </w:numPr>
      </w:pPr>
      <w:r>
        <w:t>BELGE TRANSFERİ TALEPLERİNİN ALINMASI VE DEĞERLENDİRİLMESİ</w:t>
      </w:r>
    </w:p>
    <w:p w14:paraId="25EDBC5E" w14:textId="230FBC72" w:rsidR="00531572" w:rsidRDefault="00531572" w:rsidP="00531572">
      <w:r w:rsidRPr="00666520">
        <w:rPr>
          <w:b/>
          <w:bCs/>
        </w:rPr>
        <w:t>PR.10 Talep Teklif ve Sözleşme Prosedüründe</w:t>
      </w:r>
      <w:r>
        <w:t xml:space="preserve"> talep edilen</w:t>
      </w:r>
      <w:r w:rsidR="00666520">
        <w:t>lerin yanısıra</w:t>
      </w:r>
      <w:r>
        <w:t xml:space="preserve">, talep eden kuruluştan </w:t>
      </w:r>
      <w:r w:rsidRPr="00666520">
        <w:rPr>
          <w:b/>
          <w:bCs/>
        </w:rPr>
        <w:t>FR.SB.09 Belge Transferi Talep Formu</w:t>
      </w:r>
      <w:r>
        <w:t xml:space="preserve"> </w:t>
      </w:r>
      <w:r w:rsidR="00666520">
        <w:t>alınır.</w:t>
      </w:r>
    </w:p>
    <w:p w14:paraId="45F0D921" w14:textId="73824333" w:rsidR="00BA72DB" w:rsidRDefault="00BA72DB" w:rsidP="00BA72DB">
      <w:r>
        <w:lastRenderedPageBreak/>
        <w:t xml:space="preserve">Talebin uygun görülmesi durumunda, </w:t>
      </w:r>
      <w:r w:rsidR="00D73240">
        <w:t xml:space="preserve">sunulan dokümantasyon üzerinden, </w:t>
      </w:r>
      <w:r>
        <w:t xml:space="preserve">gerekli görüldüğünde (örn. Majör uygunsuzlukların olmasından şüphe edilmesi) </w:t>
      </w:r>
      <w:r w:rsidR="00D73240">
        <w:t xml:space="preserve">müşterinin tesislerinde bir ziyaret </w:t>
      </w:r>
      <w:r>
        <w:t xml:space="preserve">planlanarak </w:t>
      </w:r>
      <w:r w:rsidR="00D73240">
        <w:t xml:space="preserve">bir inceleme </w:t>
      </w:r>
      <w:r>
        <w:t xml:space="preserve">gerçekleştirilir. </w:t>
      </w:r>
    </w:p>
    <w:p w14:paraId="43C697E9" w14:textId="77777777" w:rsidR="00BA72DB" w:rsidRDefault="00BA72DB" w:rsidP="00BA72DB">
      <w:r>
        <w:t>Bu incelemede görevlendirilen tetkik ekibi tarafından aşağıdaki hususlar irdelenir:</w:t>
      </w:r>
    </w:p>
    <w:p w14:paraId="47824039" w14:textId="233FDD92" w:rsidR="00666520" w:rsidRDefault="00666520" w:rsidP="00666520">
      <w:pPr>
        <w:pStyle w:val="ListeParagraf"/>
        <w:numPr>
          <w:ilvl w:val="0"/>
          <w:numId w:val="24"/>
        </w:numPr>
      </w:pPr>
      <w:r>
        <w:t>Kuruluşun belgelendirme kapsamının uygunluğu</w:t>
      </w:r>
    </w:p>
    <w:p w14:paraId="6AE6975B" w14:textId="547C22FF" w:rsidR="00666520" w:rsidRDefault="00666520" w:rsidP="00666520">
      <w:pPr>
        <w:pStyle w:val="ListeParagraf"/>
        <w:numPr>
          <w:ilvl w:val="0"/>
          <w:numId w:val="24"/>
        </w:numPr>
      </w:pPr>
      <w:r>
        <w:t>Kuruluşun belge transferi gerekçesi</w:t>
      </w:r>
    </w:p>
    <w:p w14:paraId="2B49774B" w14:textId="29F5B70E" w:rsidR="00666520" w:rsidRDefault="00666520" w:rsidP="00666520">
      <w:pPr>
        <w:pStyle w:val="ListeParagraf"/>
        <w:numPr>
          <w:ilvl w:val="0"/>
          <w:numId w:val="24"/>
        </w:numPr>
      </w:pPr>
      <w:r>
        <w:t>Bir önceki tetkikte tespit edilen uygunsuzluklar ve uygunsuzlukları kapatıldığının ve eğer mümkünse uygunsuzlukların kapatıldığının önceki belgelendirme kurumu tarafından doğrulanmasının sağlanması</w:t>
      </w:r>
    </w:p>
    <w:p w14:paraId="3C724E30" w14:textId="217D8E2E" w:rsidR="00666520" w:rsidRDefault="00666520" w:rsidP="00666520">
      <w:pPr>
        <w:pStyle w:val="ListeParagraf"/>
        <w:numPr>
          <w:ilvl w:val="0"/>
          <w:numId w:val="24"/>
        </w:numPr>
      </w:pPr>
      <w:r>
        <w:t>Kuruluş hakkındaki şikâyetler ve uygulanan yaptırımlar</w:t>
      </w:r>
    </w:p>
    <w:p w14:paraId="082E6E65" w14:textId="0661BF03" w:rsidR="00666520" w:rsidRDefault="00666520" w:rsidP="00666520">
      <w:pPr>
        <w:pStyle w:val="ListeParagraf"/>
        <w:numPr>
          <w:ilvl w:val="0"/>
          <w:numId w:val="24"/>
        </w:numPr>
      </w:pPr>
      <w:r>
        <w:t xml:space="preserve">Belgenin doğruluğu, geçerliliği, belge üzerindeki kuruluşun ticari unvanı, adreslerin ve istenilen adreslerin geçerliliği, </w:t>
      </w:r>
    </w:p>
    <w:p w14:paraId="784DBBD4" w14:textId="65E0AF1F" w:rsidR="00666520" w:rsidRDefault="00666520" w:rsidP="00666520">
      <w:pPr>
        <w:pStyle w:val="ListeParagraf"/>
        <w:numPr>
          <w:ilvl w:val="0"/>
          <w:numId w:val="24"/>
        </w:numPr>
      </w:pPr>
      <w:r>
        <w:t>Belgelendirme kuruluşu akreditasyon sertifikasının TS EN ISO/IEC 17021 standardı çerçevesinde IAF tarafından kabul edilen bir sertifika olup olmadığı</w:t>
      </w:r>
    </w:p>
    <w:p w14:paraId="592BBB7C" w14:textId="7C96D670" w:rsidR="00666520" w:rsidRDefault="00666520" w:rsidP="00666520">
      <w:pPr>
        <w:pStyle w:val="ListeParagraf"/>
        <w:numPr>
          <w:ilvl w:val="0"/>
          <w:numId w:val="24"/>
        </w:numPr>
      </w:pPr>
      <w:r>
        <w:t xml:space="preserve">Kuruluşun önceki belge kapsamında yapılan değişikliler ve değişikliklerin tutarlılığı </w:t>
      </w:r>
    </w:p>
    <w:p w14:paraId="73A8843C" w14:textId="71CB7817" w:rsidR="00666520" w:rsidRDefault="00666520" w:rsidP="00666520">
      <w:pPr>
        <w:pStyle w:val="ListeParagraf"/>
        <w:numPr>
          <w:ilvl w:val="0"/>
          <w:numId w:val="24"/>
        </w:numPr>
      </w:pPr>
      <w:r>
        <w:t>Yasal mercilerle geçmişte veya mevcut süregelen herhangi bir anlaşmazlık durumu</w:t>
      </w:r>
    </w:p>
    <w:p w14:paraId="1F9B5B07" w14:textId="63EC0B02" w:rsidR="00BA72DB" w:rsidRDefault="00BA72DB" w:rsidP="00BA72DB">
      <w:pPr>
        <w:pStyle w:val="ListeParagraf"/>
        <w:numPr>
          <w:ilvl w:val="0"/>
          <w:numId w:val="24"/>
        </w:numPr>
      </w:pPr>
      <w:r>
        <w:t>İlk belgelendirme veya en son yeniden belgelendirme tetkik raporları ve en son gözetim raporu; bunlardan kaynaklanabilecek tüm göze çarpan uygunsuzlukların durumu ve belgelendirme süreciyle ilgili diğer mevcut ilgili belgeler. Bu tetkik raporları mevcut değilse veya gözetim tetkiki veya yeniden belgelendirme tetkiki, düzenleyen belgelendirme kuruluşunun tetkik programının gerektirdiği şekilde tamamlanmamışsa, kuruluş yeni bir müşteri olarak muamele görecektir;</w:t>
      </w:r>
    </w:p>
    <w:p w14:paraId="075D108D" w14:textId="4B2A18ED" w:rsidR="00BA72DB" w:rsidRDefault="00BA72DB" w:rsidP="00BA72DB">
      <w:pPr>
        <w:pStyle w:val="ListeParagraf"/>
        <w:numPr>
          <w:ilvl w:val="0"/>
          <w:numId w:val="24"/>
        </w:numPr>
      </w:pPr>
      <w:r>
        <w:t xml:space="preserve">Bir tetkik planı ve bir tetkik programı oluşturmaya ilişkin hususlar. Belgelendirmeyi düzenleyen kuruluş tarafından oluşturulan tetkik programı, varsa gözden geçirilir. </w:t>
      </w:r>
    </w:p>
    <w:p w14:paraId="4BB18B29" w14:textId="2999F8C7" w:rsidR="00666520" w:rsidRDefault="00666520" w:rsidP="00666520">
      <w:pPr>
        <w:pStyle w:val="ListeParagraf"/>
        <w:numPr>
          <w:ilvl w:val="0"/>
          <w:numId w:val="24"/>
        </w:numPr>
      </w:pPr>
      <w:r>
        <w:t>Gerektiğinde ve uygulanabilir olduğu durumda önceki belgelendirme kuruluşundan kuruluşun yönetim sistemi ve belgelendirme sürecine ilişkin referans bilgi</w:t>
      </w:r>
    </w:p>
    <w:p w14:paraId="3C38DB84" w14:textId="347F847D" w:rsidR="00BA72DB" w:rsidRDefault="00BA72DB" w:rsidP="00BA72DB">
      <w:pPr>
        <w:pStyle w:val="Balk2"/>
        <w:numPr>
          <w:ilvl w:val="1"/>
          <w:numId w:val="9"/>
        </w:numPr>
      </w:pPr>
      <w:r>
        <w:t>BELGE TRANSFERİNİN GERÇEKLEŞTİRİLMESİ</w:t>
      </w:r>
    </w:p>
    <w:p w14:paraId="5864986B" w14:textId="125381BC" w:rsidR="00BA72DB" w:rsidRDefault="00BA72DB" w:rsidP="00BA72DB">
      <w:r>
        <w:t>Aşağıdakilerin sağlandığının tespiti halinde belge transferi yapılabilir:</w:t>
      </w:r>
    </w:p>
    <w:p w14:paraId="5F9AE6A6" w14:textId="1232A925" w:rsidR="00BA72DB" w:rsidRDefault="00BA72DB" w:rsidP="00BA72DB">
      <w:pPr>
        <w:pStyle w:val="ListeParagraf"/>
        <w:numPr>
          <w:ilvl w:val="0"/>
          <w:numId w:val="27"/>
        </w:numPr>
      </w:pPr>
      <w:r>
        <w:t>tüm önemli uygunsuzluklarla ilgili olarak düzeltmelerin ve düzeltici faaliyetlerin uygulandığını doğrulanmış olması</w:t>
      </w:r>
    </w:p>
    <w:p w14:paraId="7BF0088F" w14:textId="106BB9F8" w:rsidR="00BA72DB" w:rsidRDefault="00BA72DB" w:rsidP="00BA72DB">
      <w:pPr>
        <w:pStyle w:val="ListeParagraf"/>
        <w:numPr>
          <w:ilvl w:val="0"/>
          <w:numId w:val="27"/>
        </w:numPr>
      </w:pPr>
      <w:r>
        <w:t>Devreden müşterinin tüm önemli küçük uygunsuzluklar için düzeltme ve düzeltici faaliyet planlarının kabul edilmiş olması</w:t>
      </w:r>
    </w:p>
    <w:p w14:paraId="323D1206" w14:textId="77777777" w:rsidR="00BE4F46" w:rsidRDefault="00BE4F46" w:rsidP="00BE4F46">
      <w:r>
        <w:t xml:space="preserve">Transfer öncesi incelemede (doküman incelemesi ve/veya transfer öncesi ziyaret) transferin tamamlanmasını engelleyen sorunların tespit edilmesi durumunda, talep yeni bir belgelendirme olarak kabul edilir. Bu durumda, müşteri gerekçesi ile bilgilendirilir ve kayıtları tutulur. </w:t>
      </w:r>
    </w:p>
    <w:p w14:paraId="1D791C67" w14:textId="7C6596D3" w:rsidR="00BE4F46" w:rsidRDefault="00BE4F46" w:rsidP="00BE4F46">
      <w:r>
        <w:t xml:space="preserve">Belge transferine karar verme süreci </w:t>
      </w:r>
      <w:r w:rsidRPr="00BA72DB">
        <w:rPr>
          <w:b/>
          <w:bCs/>
        </w:rPr>
        <w:t>PR.SB.01 Sistem Belgelendirme Prosedürün</w:t>
      </w:r>
      <w:r>
        <w:rPr>
          <w:b/>
          <w:bCs/>
        </w:rPr>
        <w:t xml:space="preserve">e </w:t>
      </w:r>
      <w:r>
        <w:t>göre, gözden geçiren ve karar verenlerin transfer öncesi incelemeyi yürütenlerden farklı olması sağlanacak şekilde gerçekleştirilir.</w:t>
      </w:r>
    </w:p>
    <w:p w14:paraId="4A434F6B" w14:textId="662C509B" w:rsidR="00BE4F46" w:rsidRDefault="00BE4F46" w:rsidP="00BE4F46">
      <w:r>
        <w:t>Transfer öncesi incelemede herhangi bir sorun belirlenmezse, belgelendirme döngüsü önceki belgelendirme döngüsüne dayalı olarak, döngünün geri kalanı için tetkik programı oluşturularak müşteri bilgilendirilir.</w:t>
      </w:r>
    </w:p>
    <w:p w14:paraId="3C897951" w14:textId="00FFFE50" w:rsidR="00BE4F46" w:rsidRDefault="00BE4F46" w:rsidP="00BE4F46">
      <w:r>
        <w:t>Belge, son mevcut belge yenileme tarihi belirtilerek ve belgenin son geçerlilik tarihi korunarak, belge transfer tarihi esas alınarak düzenlenir. Belge düzenlendiğinde, eski belgelendirme kuruluşu bilgilendirilir.</w:t>
      </w:r>
    </w:p>
    <w:sectPr w:rsidR="00BE4F4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CD68" w14:textId="77777777" w:rsidR="00DF4D7F" w:rsidRDefault="00DF4D7F" w:rsidP="00255841">
      <w:pPr>
        <w:spacing w:after="0" w:line="240" w:lineRule="auto"/>
      </w:pPr>
      <w:r>
        <w:separator/>
      </w:r>
    </w:p>
  </w:endnote>
  <w:endnote w:type="continuationSeparator" w:id="0">
    <w:p w14:paraId="543D87B4" w14:textId="77777777" w:rsidR="00DF4D7F" w:rsidRDefault="00DF4D7F" w:rsidP="0025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A6BC" w14:textId="77777777" w:rsidR="002F3141" w:rsidRDefault="002F314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A738" w14:textId="77777777" w:rsidR="002F3141" w:rsidRDefault="002F314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0774" w14:textId="77777777" w:rsidR="002F3141" w:rsidRDefault="002F314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5B2CB" w14:textId="77777777" w:rsidR="00DF4D7F" w:rsidRDefault="00DF4D7F" w:rsidP="00255841">
      <w:pPr>
        <w:spacing w:after="0" w:line="240" w:lineRule="auto"/>
      </w:pPr>
      <w:r>
        <w:separator/>
      </w:r>
    </w:p>
  </w:footnote>
  <w:footnote w:type="continuationSeparator" w:id="0">
    <w:p w14:paraId="0785D27E" w14:textId="77777777" w:rsidR="00DF4D7F" w:rsidRDefault="00DF4D7F" w:rsidP="0025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9A24" w14:textId="77777777" w:rsidR="002F3141" w:rsidRDefault="002F314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zTablo1"/>
      <w:tblW w:w="0" w:type="auto"/>
      <w:jc w:val="center"/>
      <w:tblLook w:val="04A0" w:firstRow="1" w:lastRow="0" w:firstColumn="1" w:lastColumn="0" w:noHBand="0" w:noVBand="1"/>
    </w:tblPr>
    <w:tblGrid>
      <w:gridCol w:w="2054"/>
      <w:gridCol w:w="1752"/>
      <w:gridCol w:w="1706"/>
      <w:gridCol w:w="1783"/>
      <w:gridCol w:w="1767"/>
    </w:tblGrid>
    <w:tr w:rsidR="00255841" w14:paraId="7D1CD30E" w14:textId="77777777" w:rsidTr="00255841">
      <w:trPr>
        <w:cnfStyle w:val="100000000000" w:firstRow="1" w:lastRow="0" w:firstColumn="0" w:lastColumn="0" w:oddVBand="0" w:evenVBand="0" w:oddHBand="0" w:evenHBand="0" w:firstRowFirstColumn="0" w:firstRowLastColumn="0" w:lastRowFirstColumn="0" w:lastRowLastColumn="0"/>
        <w:trHeight w:val="677"/>
        <w:jc w:val="center"/>
      </w:trPr>
      <w:tc>
        <w:tcPr>
          <w:cnfStyle w:val="001000000000" w:firstRow="0" w:lastRow="0" w:firstColumn="1" w:lastColumn="0" w:oddVBand="0" w:evenVBand="0" w:oddHBand="0" w:evenHBand="0" w:firstRowFirstColumn="0" w:firstRowLastColumn="0" w:lastRowFirstColumn="0" w:lastRowLastColumn="0"/>
          <w:tcW w:w="2054" w:type="dxa"/>
          <w:vMerge w:val="restart"/>
        </w:tcPr>
        <w:p w14:paraId="7177C1FB" w14:textId="77777777" w:rsidR="00255841" w:rsidRDefault="00255841" w:rsidP="00255841">
          <w:r w:rsidRPr="0076224A">
            <w:rPr>
              <w:noProof/>
            </w:rPr>
            <w:drawing>
              <wp:inline distT="0" distB="0" distL="0" distR="0" wp14:anchorId="4A964154" wp14:editId="0154FDA0">
                <wp:extent cx="1167130" cy="777875"/>
                <wp:effectExtent l="0" t="0" r="0" b="317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7130" cy="777875"/>
                        </a:xfrm>
                        <a:prstGeom prst="rect">
                          <a:avLst/>
                        </a:prstGeom>
                        <a:noFill/>
                        <a:ln>
                          <a:noFill/>
                        </a:ln>
                      </pic:spPr>
                    </pic:pic>
                  </a:graphicData>
                </a:graphic>
              </wp:inline>
            </w:drawing>
          </w:r>
        </w:p>
      </w:tc>
      <w:tc>
        <w:tcPr>
          <w:tcW w:w="7008" w:type="dxa"/>
          <w:gridSpan w:val="4"/>
        </w:tcPr>
        <w:p w14:paraId="1A59ABB4" w14:textId="37C8FF9C" w:rsidR="00255841" w:rsidRPr="009925BB" w:rsidRDefault="00E64C33" w:rsidP="00255841">
          <w:pPr>
            <w:jc w:val="center"/>
            <w:cnfStyle w:val="100000000000" w:firstRow="1" w:lastRow="0" w:firstColumn="0" w:lastColumn="0" w:oddVBand="0" w:evenVBand="0" w:oddHBand="0" w:evenHBand="0" w:firstRowFirstColumn="0" w:firstRowLastColumn="0" w:lastRowFirstColumn="0" w:lastRowLastColumn="0"/>
            <w:rPr>
              <w:rStyle w:val="Gl"/>
              <w:b/>
              <w:bCs/>
            </w:rPr>
          </w:pPr>
          <w:r>
            <w:rPr>
              <w:rStyle w:val="Gl"/>
              <w:b/>
              <w:bCs/>
            </w:rPr>
            <w:t>BELGE TRANSFERİ TALİMATI</w:t>
          </w:r>
        </w:p>
      </w:tc>
    </w:tr>
    <w:tr w:rsidR="00255841" w14:paraId="50A9EE70" w14:textId="77777777" w:rsidTr="00255841">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55D9C8E7" w14:textId="77777777" w:rsidR="00255841" w:rsidRDefault="00255841" w:rsidP="00255841"/>
      </w:tc>
      <w:tc>
        <w:tcPr>
          <w:tcW w:w="1752" w:type="dxa"/>
        </w:tcPr>
        <w:p w14:paraId="1EFD39D6" w14:textId="77777777" w:rsidR="00255841" w:rsidRDefault="00255841" w:rsidP="00255841">
          <w:pPr>
            <w:cnfStyle w:val="000000100000" w:firstRow="0" w:lastRow="0" w:firstColumn="0" w:lastColumn="0" w:oddVBand="0" w:evenVBand="0" w:oddHBand="1" w:evenHBand="0" w:firstRowFirstColumn="0" w:firstRowLastColumn="0" w:lastRowFirstColumn="0" w:lastRowLastColumn="0"/>
          </w:pPr>
          <w:r>
            <w:rPr>
              <w:b/>
              <w:bCs/>
            </w:rPr>
            <w:t>Doküman Kodu</w:t>
          </w:r>
        </w:p>
      </w:tc>
      <w:tc>
        <w:tcPr>
          <w:tcW w:w="1706" w:type="dxa"/>
        </w:tcPr>
        <w:p w14:paraId="73A07A24" w14:textId="77777777" w:rsidR="00255841" w:rsidRDefault="00255841" w:rsidP="00255841">
          <w:pPr>
            <w:cnfStyle w:val="000000100000" w:firstRow="0" w:lastRow="0" w:firstColumn="0" w:lastColumn="0" w:oddVBand="0" w:evenVBand="0" w:oddHBand="1" w:evenHBand="0" w:firstRowFirstColumn="0" w:firstRowLastColumn="0" w:lastRowFirstColumn="0" w:lastRowLastColumn="0"/>
          </w:pPr>
          <w:r w:rsidRPr="00C02D78">
            <w:rPr>
              <w:b/>
              <w:bCs/>
            </w:rPr>
            <w:t>Yayın Tarihi:</w:t>
          </w:r>
        </w:p>
      </w:tc>
      <w:tc>
        <w:tcPr>
          <w:tcW w:w="1783" w:type="dxa"/>
        </w:tcPr>
        <w:p w14:paraId="6E7AA824" w14:textId="77777777" w:rsidR="00255841" w:rsidRDefault="00255841" w:rsidP="00255841">
          <w:pPr>
            <w:cnfStyle w:val="000000100000" w:firstRow="0" w:lastRow="0" w:firstColumn="0" w:lastColumn="0" w:oddVBand="0" w:evenVBand="0" w:oddHBand="1" w:evenHBand="0" w:firstRowFirstColumn="0" w:firstRowLastColumn="0" w:lastRowFirstColumn="0" w:lastRowLastColumn="0"/>
          </w:pPr>
          <w:r w:rsidRPr="00C02D78">
            <w:rPr>
              <w:b/>
              <w:bCs/>
            </w:rPr>
            <w:t>Rev. No:</w:t>
          </w:r>
        </w:p>
      </w:tc>
      <w:tc>
        <w:tcPr>
          <w:tcW w:w="1767" w:type="dxa"/>
        </w:tcPr>
        <w:p w14:paraId="72917106" w14:textId="77777777" w:rsidR="00255841" w:rsidRDefault="00255841" w:rsidP="00255841">
          <w:pPr>
            <w:cnfStyle w:val="000000100000" w:firstRow="0" w:lastRow="0" w:firstColumn="0" w:lastColumn="0" w:oddVBand="0" w:evenVBand="0" w:oddHBand="1" w:evenHBand="0" w:firstRowFirstColumn="0" w:firstRowLastColumn="0" w:lastRowFirstColumn="0" w:lastRowLastColumn="0"/>
          </w:pPr>
          <w:r w:rsidRPr="00C02D78">
            <w:rPr>
              <w:b/>
              <w:bCs/>
            </w:rPr>
            <w:t>Rev. Tarihi:</w:t>
          </w:r>
        </w:p>
      </w:tc>
    </w:tr>
    <w:tr w:rsidR="00255841" w14:paraId="3927E558" w14:textId="77777777" w:rsidTr="00255841">
      <w:trPr>
        <w:trHeight w:val="282"/>
        <w:jc w:val="center"/>
      </w:trPr>
      <w:tc>
        <w:tcPr>
          <w:cnfStyle w:val="001000000000" w:firstRow="0" w:lastRow="0" w:firstColumn="1" w:lastColumn="0" w:oddVBand="0" w:evenVBand="0" w:oddHBand="0" w:evenHBand="0" w:firstRowFirstColumn="0" w:firstRowLastColumn="0" w:lastRowFirstColumn="0" w:lastRowLastColumn="0"/>
          <w:tcW w:w="2054" w:type="dxa"/>
          <w:vMerge/>
        </w:tcPr>
        <w:p w14:paraId="222D10E3" w14:textId="77777777" w:rsidR="00255841" w:rsidRDefault="00255841" w:rsidP="00255841"/>
      </w:tc>
      <w:tc>
        <w:tcPr>
          <w:tcW w:w="1752" w:type="dxa"/>
        </w:tcPr>
        <w:p w14:paraId="35ED91E8" w14:textId="533AD615" w:rsidR="00255841" w:rsidRPr="009F5D89" w:rsidRDefault="00255841" w:rsidP="00255841">
          <w:pPr>
            <w:jc w:val="center"/>
            <w:cnfStyle w:val="000000000000" w:firstRow="0" w:lastRow="0" w:firstColumn="0" w:lastColumn="0" w:oddVBand="0" w:evenVBand="0" w:oddHBand="0" w:evenHBand="0" w:firstRowFirstColumn="0" w:firstRowLastColumn="0" w:lastRowFirstColumn="0" w:lastRowLastColumn="0"/>
          </w:pPr>
          <w:r>
            <w:t>T</w:t>
          </w:r>
          <w:r w:rsidR="00673160">
            <w:t>.</w:t>
          </w:r>
          <w:r w:rsidR="009925BB">
            <w:t>SB</w:t>
          </w:r>
          <w:r w:rsidR="00673160">
            <w:t>.</w:t>
          </w:r>
          <w:r>
            <w:t>0</w:t>
          </w:r>
          <w:r w:rsidR="00E64C33">
            <w:t>3</w:t>
          </w:r>
        </w:p>
      </w:tc>
      <w:tc>
        <w:tcPr>
          <w:tcW w:w="1706" w:type="dxa"/>
        </w:tcPr>
        <w:p w14:paraId="76034905" w14:textId="3E164C19" w:rsidR="00255841" w:rsidRPr="009F5D89" w:rsidRDefault="002F3141" w:rsidP="00255841">
          <w:pPr>
            <w:cnfStyle w:val="000000000000" w:firstRow="0" w:lastRow="0" w:firstColumn="0" w:lastColumn="0" w:oddVBand="0" w:evenVBand="0" w:oddHBand="0" w:evenHBand="0" w:firstRowFirstColumn="0" w:firstRowLastColumn="0" w:lastRowFirstColumn="0" w:lastRowLastColumn="0"/>
          </w:pPr>
          <w:r>
            <w:t>12</w:t>
          </w:r>
          <w:r w:rsidR="00255841" w:rsidRPr="009F5D89">
            <w:t>.</w:t>
          </w:r>
          <w:r>
            <w:t>12</w:t>
          </w:r>
          <w:r w:rsidR="00255841" w:rsidRPr="009F5D89">
            <w:t>.</w:t>
          </w:r>
          <w:r>
            <w:t>2022</w:t>
          </w:r>
        </w:p>
      </w:tc>
      <w:tc>
        <w:tcPr>
          <w:tcW w:w="1783" w:type="dxa"/>
        </w:tcPr>
        <w:p w14:paraId="7715398D" w14:textId="77777777" w:rsidR="00255841" w:rsidRPr="009F5D89" w:rsidRDefault="00255841" w:rsidP="00255841">
          <w:pPr>
            <w:cnfStyle w:val="000000000000" w:firstRow="0" w:lastRow="0" w:firstColumn="0" w:lastColumn="0" w:oddVBand="0" w:evenVBand="0" w:oddHBand="0" w:evenHBand="0" w:firstRowFirstColumn="0" w:firstRowLastColumn="0" w:lastRowFirstColumn="0" w:lastRowLastColumn="0"/>
          </w:pPr>
          <w:r w:rsidRPr="009F5D89">
            <w:t>00</w:t>
          </w:r>
        </w:p>
      </w:tc>
      <w:tc>
        <w:tcPr>
          <w:tcW w:w="1767" w:type="dxa"/>
        </w:tcPr>
        <w:p w14:paraId="044DD66E" w14:textId="77777777" w:rsidR="00255841" w:rsidRPr="009F5D89" w:rsidRDefault="00255841" w:rsidP="00255841">
          <w:pPr>
            <w:cnfStyle w:val="000000000000" w:firstRow="0" w:lastRow="0" w:firstColumn="0" w:lastColumn="0" w:oddVBand="0" w:evenVBand="0" w:oddHBand="0" w:evenHBand="0" w:firstRowFirstColumn="0" w:firstRowLastColumn="0" w:lastRowFirstColumn="0" w:lastRowLastColumn="0"/>
          </w:pPr>
          <w:r w:rsidRPr="009F5D89">
            <w:t>-</w:t>
          </w:r>
        </w:p>
      </w:tc>
    </w:tr>
  </w:tbl>
  <w:p w14:paraId="66581788" w14:textId="77777777" w:rsidR="00255841" w:rsidRDefault="0025584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50F2" w14:textId="77777777" w:rsidR="002F3141" w:rsidRDefault="002F314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78E"/>
    <w:multiLevelType w:val="hybridMultilevel"/>
    <w:tmpl w:val="BA887EE6"/>
    <w:lvl w:ilvl="0" w:tplc="041F0019">
      <w:start w:val="1"/>
      <w:numFmt w:val="lowerLetter"/>
      <w:lvlText w:val="%1."/>
      <w:lvlJc w:val="left"/>
      <w:pPr>
        <w:ind w:left="720" w:hanging="360"/>
      </w:pPr>
      <w:rPr>
        <w:rFonts w:hint="default"/>
      </w:rPr>
    </w:lvl>
    <w:lvl w:ilvl="1" w:tplc="CE9E14A0">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384F99"/>
    <w:multiLevelType w:val="hybridMultilevel"/>
    <w:tmpl w:val="C23C22A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078EB"/>
    <w:multiLevelType w:val="hybridMultilevel"/>
    <w:tmpl w:val="1DAA41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97CA0"/>
    <w:multiLevelType w:val="hybridMultilevel"/>
    <w:tmpl w:val="98BCCC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03A32"/>
    <w:multiLevelType w:val="hybridMultilevel"/>
    <w:tmpl w:val="8FD090B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075190"/>
    <w:multiLevelType w:val="multilevel"/>
    <w:tmpl w:val="7A8239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C130E5"/>
    <w:multiLevelType w:val="hybridMultilevel"/>
    <w:tmpl w:val="ED00A2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24A54"/>
    <w:multiLevelType w:val="multilevel"/>
    <w:tmpl w:val="886643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9A74D2D"/>
    <w:multiLevelType w:val="hybridMultilevel"/>
    <w:tmpl w:val="60B8F00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A2006E"/>
    <w:multiLevelType w:val="hybridMultilevel"/>
    <w:tmpl w:val="77485F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E96A0E"/>
    <w:multiLevelType w:val="multilevel"/>
    <w:tmpl w:val="F1ACF104"/>
    <w:lvl w:ilvl="0">
      <w:start w:val="1"/>
      <w:numFmt w:val="lowerLetter"/>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01621FD"/>
    <w:multiLevelType w:val="hybridMultilevel"/>
    <w:tmpl w:val="7CD6BDA6"/>
    <w:lvl w:ilvl="0" w:tplc="BA305AD2">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1E516F"/>
    <w:multiLevelType w:val="multilevel"/>
    <w:tmpl w:val="874AC1C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034806"/>
    <w:multiLevelType w:val="hybridMultilevel"/>
    <w:tmpl w:val="BFD627B6"/>
    <w:lvl w:ilvl="0" w:tplc="041F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04001B"/>
    <w:multiLevelType w:val="hybridMultilevel"/>
    <w:tmpl w:val="611E403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2D18401D"/>
    <w:multiLevelType w:val="hybridMultilevel"/>
    <w:tmpl w:val="C00ADFB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5F0EE0"/>
    <w:multiLevelType w:val="multilevel"/>
    <w:tmpl w:val="E3DC216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A23F8D"/>
    <w:multiLevelType w:val="hybridMultilevel"/>
    <w:tmpl w:val="29AE877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2C456E5"/>
    <w:multiLevelType w:val="hybridMultilevel"/>
    <w:tmpl w:val="9A0061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AAA47F5"/>
    <w:multiLevelType w:val="hybridMultilevel"/>
    <w:tmpl w:val="7C0A01A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D92994"/>
    <w:multiLevelType w:val="hybridMultilevel"/>
    <w:tmpl w:val="8F228DC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48900AD7"/>
    <w:multiLevelType w:val="hybridMultilevel"/>
    <w:tmpl w:val="723AB3E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3024AA"/>
    <w:multiLevelType w:val="multilevel"/>
    <w:tmpl w:val="FA30C168"/>
    <w:lvl w:ilvl="0">
      <w:start w:val="1"/>
      <w:numFmt w:val="decimal"/>
      <w:lvlText w:val="%1.0"/>
      <w:lvlJc w:val="left"/>
      <w:pPr>
        <w:tabs>
          <w:tab w:val="num" w:pos="1800"/>
        </w:tabs>
        <w:ind w:left="1800" w:hanging="360"/>
      </w:pPr>
      <w:rPr>
        <w:rFonts w:hint="default"/>
        <w:b/>
      </w:rPr>
    </w:lvl>
    <w:lvl w:ilvl="1">
      <w:start w:val="1"/>
      <w:numFmt w:val="decimal"/>
      <w:lvlText w:val="%1.%2"/>
      <w:lvlJc w:val="left"/>
      <w:pPr>
        <w:tabs>
          <w:tab w:val="num" w:pos="2508"/>
        </w:tabs>
        <w:ind w:left="2508" w:hanging="360"/>
      </w:pPr>
      <w:rPr>
        <w:rFonts w:hint="default"/>
      </w:rPr>
    </w:lvl>
    <w:lvl w:ilvl="2">
      <w:start w:val="1"/>
      <w:numFmt w:val="decimal"/>
      <w:lvlText w:val="%1.%2.%3"/>
      <w:lvlJc w:val="left"/>
      <w:pPr>
        <w:tabs>
          <w:tab w:val="num" w:pos="3576"/>
        </w:tabs>
        <w:ind w:left="3576" w:hanging="720"/>
      </w:pPr>
      <w:rPr>
        <w:rFonts w:hint="default"/>
      </w:rPr>
    </w:lvl>
    <w:lvl w:ilvl="3">
      <w:start w:val="1"/>
      <w:numFmt w:val="decimal"/>
      <w:lvlText w:val="%1.%2.%3.%4"/>
      <w:lvlJc w:val="left"/>
      <w:pPr>
        <w:tabs>
          <w:tab w:val="num" w:pos="4284"/>
        </w:tabs>
        <w:ind w:left="4284" w:hanging="720"/>
      </w:pPr>
      <w:rPr>
        <w:rFonts w:hint="default"/>
      </w:rPr>
    </w:lvl>
    <w:lvl w:ilvl="4">
      <w:start w:val="1"/>
      <w:numFmt w:val="decimal"/>
      <w:lvlText w:val="%1.%2.%3.%4.%5"/>
      <w:lvlJc w:val="left"/>
      <w:pPr>
        <w:tabs>
          <w:tab w:val="num" w:pos="5352"/>
        </w:tabs>
        <w:ind w:left="5352" w:hanging="1080"/>
      </w:pPr>
      <w:rPr>
        <w:rFonts w:hint="default"/>
      </w:rPr>
    </w:lvl>
    <w:lvl w:ilvl="5">
      <w:start w:val="1"/>
      <w:numFmt w:val="decimal"/>
      <w:lvlText w:val="%1.%2.%3.%4.%5.%6"/>
      <w:lvlJc w:val="left"/>
      <w:pPr>
        <w:tabs>
          <w:tab w:val="num" w:pos="6060"/>
        </w:tabs>
        <w:ind w:left="6060" w:hanging="1080"/>
      </w:pPr>
      <w:rPr>
        <w:rFonts w:hint="default"/>
      </w:rPr>
    </w:lvl>
    <w:lvl w:ilvl="6">
      <w:start w:val="1"/>
      <w:numFmt w:val="decimal"/>
      <w:lvlText w:val="%1.%2.%3.%4.%5.%6.%7"/>
      <w:lvlJc w:val="left"/>
      <w:pPr>
        <w:tabs>
          <w:tab w:val="num" w:pos="7128"/>
        </w:tabs>
        <w:ind w:left="7128" w:hanging="1440"/>
      </w:pPr>
      <w:rPr>
        <w:rFonts w:hint="default"/>
      </w:rPr>
    </w:lvl>
    <w:lvl w:ilvl="7">
      <w:start w:val="1"/>
      <w:numFmt w:val="decimal"/>
      <w:lvlText w:val="%1.%2.%3.%4.%5.%6.%7.%8"/>
      <w:lvlJc w:val="left"/>
      <w:pPr>
        <w:tabs>
          <w:tab w:val="num" w:pos="7836"/>
        </w:tabs>
        <w:ind w:left="7836" w:hanging="1440"/>
      </w:pPr>
      <w:rPr>
        <w:rFonts w:hint="default"/>
      </w:rPr>
    </w:lvl>
    <w:lvl w:ilvl="8">
      <w:start w:val="1"/>
      <w:numFmt w:val="decimal"/>
      <w:lvlText w:val="%1.%2.%3.%4.%5.%6.%7.%8.%9"/>
      <w:lvlJc w:val="left"/>
      <w:pPr>
        <w:tabs>
          <w:tab w:val="num" w:pos="8544"/>
        </w:tabs>
        <w:ind w:left="8544" w:hanging="1440"/>
      </w:pPr>
      <w:rPr>
        <w:rFonts w:hint="default"/>
      </w:rPr>
    </w:lvl>
  </w:abstractNum>
  <w:abstractNum w:abstractNumId="23" w15:restartNumberingAfterBreak="0">
    <w:nsid w:val="5358301B"/>
    <w:multiLevelType w:val="hybridMultilevel"/>
    <w:tmpl w:val="79681C38"/>
    <w:lvl w:ilvl="0" w:tplc="041F0001">
      <w:start w:val="1"/>
      <w:numFmt w:val="bullet"/>
      <w:lvlText w:val=""/>
      <w:lvlJc w:val="left"/>
      <w:pPr>
        <w:tabs>
          <w:tab w:val="num" w:pos="736"/>
        </w:tabs>
        <w:ind w:left="736" w:hanging="360"/>
      </w:pPr>
      <w:rPr>
        <w:rFonts w:ascii="Symbol" w:hAnsi="Symbol" w:hint="default"/>
      </w:rPr>
    </w:lvl>
    <w:lvl w:ilvl="1" w:tplc="041F0003" w:tentative="1">
      <w:start w:val="1"/>
      <w:numFmt w:val="bullet"/>
      <w:lvlText w:val="o"/>
      <w:lvlJc w:val="left"/>
      <w:pPr>
        <w:tabs>
          <w:tab w:val="num" w:pos="1456"/>
        </w:tabs>
        <w:ind w:left="1456" w:hanging="360"/>
      </w:pPr>
      <w:rPr>
        <w:rFonts w:ascii="Courier New" w:hAnsi="Courier New" w:cs="Courier New" w:hint="default"/>
      </w:rPr>
    </w:lvl>
    <w:lvl w:ilvl="2" w:tplc="041F0005" w:tentative="1">
      <w:start w:val="1"/>
      <w:numFmt w:val="bullet"/>
      <w:lvlText w:val=""/>
      <w:lvlJc w:val="left"/>
      <w:pPr>
        <w:tabs>
          <w:tab w:val="num" w:pos="2176"/>
        </w:tabs>
        <w:ind w:left="2176" w:hanging="360"/>
      </w:pPr>
      <w:rPr>
        <w:rFonts w:ascii="Wingdings" w:hAnsi="Wingdings" w:hint="default"/>
      </w:rPr>
    </w:lvl>
    <w:lvl w:ilvl="3" w:tplc="041F0001" w:tentative="1">
      <w:start w:val="1"/>
      <w:numFmt w:val="bullet"/>
      <w:lvlText w:val=""/>
      <w:lvlJc w:val="left"/>
      <w:pPr>
        <w:tabs>
          <w:tab w:val="num" w:pos="2896"/>
        </w:tabs>
        <w:ind w:left="2896" w:hanging="360"/>
      </w:pPr>
      <w:rPr>
        <w:rFonts w:ascii="Symbol" w:hAnsi="Symbol" w:hint="default"/>
      </w:rPr>
    </w:lvl>
    <w:lvl w:ilvl="4" w:tplc="041F0003" w:tentative="1">
      <w:start w:val="1"/>
      <w:numFmt w:val="bullet"/>
      <w:lvlText w:val="o"/>
      <w:lvlJc w:val="left"/>
      <w:pPr>
        <w:tabs>
          <w:tab w:val="num" w:pos="3616"/>
        </w:tabs>
        <w:ind w:left="3616" w:hanging="360"/>
      </w:pPr>
      <w:rPr>
        <w:rFonts w:ascii="Courier New" w:hAnsi="Courier New" w:cs="Courier New" w:hint="default"/>
      </w:rPr>
    </w:lvl>
    <w:lvl w:ilvl="5" w:tplc="041F0005" w:tentative="1">
      <w:start w:val="1"/>
      <w:numFmt w:val="bullet"/>
      <w:lvlText w:val=""/>
      <w:lvlJc w:val="left"/>
      <w:pPr>
        <w:tabs>
          <w:tab w:val="num" w:pos="4336"/>
        </w:tabs>
        <w:ind w:left="4336" w:hanging="360"/>
      </w:pPr>
      <w:rPr>
        <w:rFonts w:ascii="Wingdings" w:hAnsi="Wingdings" w:hint="default"/>
      </w:rPr>
    </w:lvl>
    <w:lvl w:ilvl="6" w:tplc="041F0001" w:tentative="1">
      <w:start w:val="1"/>
      <w:numFmt w:val="bullet"/>
      <w:lvlText w:val=""/>
      <w:lvlJc w:val="left"/>
      <w:pPr>
        <w:tabs>
          <w:tab w:val="num" w:pos="5056"/>
        </w:tabs>
        <w:ind w:left="5056" w:hanging="360"/>
      </w:pPr>
      <w:rPr>
        <w:rFonts w:ascii="Symbol" w:hAnsi="Symbol" w:hint="default"/>
      </w:rPr>
    </w:lvl>
    <w:lvl w:ilvl="7" w:tplc="041F0003" w:tentative="1">
      <w:start w:val="1"/>
      <w:numFmt w:val="bullet"/>
      <w:lvlText w:val="o"/>
      <w:lvlJc w:val="left"/>
      <w:pPr>
        <w:tabs>
          <w:tab w:val="num" w:pos="5776"/>
        </w:tabs>
        <w:ind w:left="5776" w:hanging="360"/>
      </w:pPr>
      <w:rPr>
        <w:rFonts w:ascii="Courier New" w:hAnsi="Courier New" w:cs="Courier New" w:hint="default"/>
      </w:rPr>
    </w:lvl>
    <w:lvl w:ilvl="8" w:tplc="041F0005" w:tentative="1">
      <w:start w:val="1"/>
      <w:numFmt w:val="bullet"/>
      <w:lvlText w:val=""/>
      <w:lvlJc w:val="left"/>
      <w:pPr>
        <w:tabs>
          <w:tab w:val="num" w:pos="6496"/>
        </w:tabs>
        <w:ind w:left="6496" w:hanging="360"/>
      </w:pPr>
      <w:rPr>
        <w:rFonts w:ascii="Wingdings" w:hAnsi="Wingdings" w:hint="default"/>
      </w:rPr>
    </w:lvl>
  </w:abstractNum>
  <w:abstractNum w:abstractNumId="24" w15:restartNumberingAfterBreak="0">
    <w:nsid w:val="53BE6240"/>
    <w:multiLevelType w:val="hybridMultilevel"/>
    <w:tmpl w:val="06E6E18A"/>
    <w:lvl w:ilvl="0" w:tplc="9F2AA240">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29239B5"/>
    <w:multiLevelType w:val="hybridMultilevel"/>
    <w:tmpl w:val="6ACA51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7EA5A6A"/>
    <w:multiLevelType w:val="hybridMultilevel"/>
    <w:tmpl w:val="C0C85E42"/>
    <w:lvl w:ilvl="0" w:tplc="21FE4F18">
      <w:start w:val="1"/>
      <w:numFmt w:val="lowerLetter"/>
      <w:lvlText w:val="%1)"/>
      <w:lvlJc w:val="left"/>
      <w:pPr>
        <w:ind w:left="2121" w:hanging="705"/>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16cid:durableId="1849522114">
    <w:abstractNumId w:val="12"/>
  </w:num>
  <w:num w:numId="2" w16cid:durableId="494685174">
    <w:abstractNumId w:val="22"/>
  </w:num>
  <w:num w:numId="3" w16cid:durableId="78259258">
    <w:abstractNumId w:val="26"/>
  </w:num>
  <w:num w:numId="4" w16cid:durableId="210774095">
    <w:abstractNumId w:val="6"/>
  </w:num>
  <w:num w:numId="5" w16cid:durableId="2079933641">
    <w:abstractNumId w:val="9"/>
  </w:num>
  <w:num w:numId="6" w16cid:durableId="1961917699">
    <w:abstractNumId w:val="20"/>
  </w:num>
  <w:num w:numId="7" w16cid:durableId="943414352">
    <w:abstractNumId w:val="14"/>
  </w:num>
  <w:num w:numId="8" w16cid:durableId="763723672">
    <w:abstractNumId w:val="16"/>
  </w:num>
  <w:num w:numId="9" w16cid:durableId="101652074">
    <w:abstractNumId w:val="5"/>
  </w:num>
  <w:num w:numId="10" w16cid:durableId="446890915">
    <w:abstractNumId w:val="21"/>
  </w:num>
  <w:num w:numId="11" w16cid:durableId="508756358">
    <w:abstractNumId w:val="8"/>
  </w:num>
  <w:num w:numId="12" w16cid:durableId="2071884415">
    <w:abstractNumId w:val="25"/>
  </w:num>
  <w:num w:numId="13" w16cid:durableId="1272782766">
    <w:abstractNumId w:val="17"/>
  </w:num>
  <w:num w:numId="14" w16cid:durableId="417292905">
    <w:abstractNumId w:val="0"/>
  </w:num>
  <w:num w:numId="15" w16cid:durableId="1757940917">
    <w:abstractNumId w:val="19"/>
  </w:num>
  <w:num w:numId="16" w16cid:durableId="557087909">
    <w:abstractNumId w:val="2"/>
  </w:num>
  <w:num w:numId="17" w16cid:durableId="343363831">
    <w:abstractNumId w:val="3"/>
  </w:num>
  <w:num w:numId="18" w16cid:durableId="1433279018">
    <w:abstractNumId w:val="23"/>
  </w:num>
  <w:num w:numId="19" w16cid:durableId="1934320448">
    <w:abstractNumId w:val="1"/>
  </w:num>
  <w:num w:numId="20" w16cid:durableId="1822193610">
    <w:abstractNumId w:val="15"/>
  </w:num>
  <w:num w:numId="21" w16cid:durableId="1880824253">
    <w:abstractNumId w:val="7"/>
  </w:num>
  <w:num w:numId="22" w16cid:durableId="1589920551">
    <w:abstractNumId w:val="10"/>
  </w:num>
  <w:num w:numId="23" w16cid:durableId="84083234">
    <w:abstractNumId w:val="4"/>
  </w:num>
  <w:num w:numId="24" w16cid:durableId="24409443">
    <w:abstractNumId w:val="18"/>
  </w:num>
  <w:num w:numId="25" w16cid:durableId="1727997058">
    <w:abstractNumId w:val="24"/>
  </w:num>
  <w:num w:numId="26" w16cid:durableId="1093009823">
    <w:abstractNumId w:val="13"/>
  </w:num>
  <w:num w:numId="27" w16cid:durableId="1361276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DE"/>
    <w:rsid w:val="00021976"/>
    <w:rsid w:val="0016384D"/>
    <w:rsid w:val="00255841"/>
    <w:rsid w:val="0028658E"/>
    <w:rsid w:val="0029137F"/>
    <w:rsid w:val="002F3141"/>
    <w:rsid w:val="0031123F"/>
    <w:rsid w:val="00330BC6"/>
    <w:rsid w:val="00382162"/>
    <w:rsid w:val="00417925"/>
    <w:rsid w:val="00531572"/>
    <w:rsid w:val="00582557"/>
    <w:rsid w:val="005827AB"/>
    <w:rsid w:val="00597997"/>
    <w:rsid w:val="006328A6"/>
    <w:rsid w:val="00666520"/>
    <w:rsid w:val="00673160"/>
    <w:rsid w:val="006A6F25"/>
    <w:rsid w:val="006A73DE"/>
    <w:rsid w:val="008D20C9"/>
    <w:rsid w:val="008F618F"/>
    <w:rsid w:val="00931AC3"/>
    <w:rsid w:val="009925BB"/>
    <w:rsid w:val="009E0D5F"/>
    <w:rsid w:val="009E351D"/>
    <w:rsid w:val="00A4321D"/>
    <w:rsid w:val="00A57760"/>
    <w:rsid w:val="00AF45B8"/>
    <w:rsid w:val="00B546D7"/>
    <w:rsid w:val="00B6483B"/>
    <w:rsid w:val="00BA72DB"/>
    <w:rsid w:val="00BC75F6"/>
    <w:rsid w:val="00BE4CAF"/>
    <w:rsid w:val="00BE4F46"/>
    <w:rsid w:val="00C40B3E"/>
    <w:rsid w:val="00C756AA"/>
    <w:rsid w:val="00CA47D4"/>
    <w:rsid w:val="00D11275"/>
    <w:rsid w:val="00D31273"/>
    <w:rsid w:val="00D57C16"/>
    <w:rsid w:val="00D73240"/>
    <w:rsid w:val="00D92147"/>
    <w:rsid w:val="00DF4D7F"/>
    <w:rsid w:val="00E64C33"/>
    <w:rsid w:val="00EB0BA1"/>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827C"/>
  <w15:chartTrackingRefBased/>
  <w15:docId w15:val="{C0B46915-EA14-475C-ACC2-09A547E6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tr-TR"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DB"/>
  </w:style>
  <w:style w:type="paragraph" w:styleId="Balk1">
    <w:name w:val="heading 1"/>
    <w:basedOn w:val="Normal"/>
    <w:next w:val="Normal"/>
    <w:link w:val="Balk1Char"/>
    <w:uiPriority w:val="9"/>
    <w:qFormat/>
    <w:rsid w:val="009E0D5F"/>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alk2">
    <w:name w:val="heading 2"/>
    <w:basedOn w:val="Normal"/>
    <w:next w:val="Normal"/>
    <w:link w:val="Balk2Char"/>
    <w:uiPriority w:val="9"/>
    <w:unhideWhenUsed/>
    <w:qFormat/>
    <w:rsid w:val="009E0D5F"/>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alk3">
    <w:name w:val="heading 3"/>
    <w:basedOn w:val="Normal"/>
    <w:next w:val="Normal"/>
    <w:link w:val="Balk3Char"/>
    <w:uiPriority w:val="9"/>
    <w:unhideWhenUsed/>
    <w:qFormat/>
    <w:rsid w:val="009E0D5F"/>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unhideWhenUsed/>
    <w:qFormat/>
    <w:rsid w:val="009E0D5F"/>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9E0D5F"/>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9E0D5F"/>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9E0D5F"/>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9E0D5F"/>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9E0D5F"/>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0D5F"/>
    <w:rPr>
      <w:rFonts w:asciiTheme="majorHAnsi" w:eastAsiaTheme="majorEastAsia" w:hAnsiTheme="majorHAnsi" w:cstheme="majorBidi"/>
      <w:color w:val="2F5496" w:themeColor="accent1" w:themeShade="BF"/>
      <w:sz w:val="36"/>
      <w:szCs w:val="36"/>
    </w:rPr>
  </w:style>
  <w:style w:type="character" w:customStyle="1" w:styleId="Balk2Char">
    <w:name w:val="Başlık 2 Char"/>
    <w:basedOn w:val="VarsaylanParagrafYazTipi"/>
    <w:link w:val="Balk2"/>
    <w:uiPriority w:val="9"/>
    <w:rsid w:val="009E0D5F"/>
    <w:rPr>
      <w:rFonts w:asciiTheme="majorHAnsi" w:eastAsiaTheme="majorEastAsia" w:hAnsiTheme="majorHAnsi" w:cstheme="majorBidi"/>
      <w:color w:val="2F5496" w:themeColor="accent1" w:themeShade="BF"/>
      <w:sz w:val="28"/>
      <w:szCs w:val="28"/>
    </w:rPr>
  </w:style>
  <w:style w:type="character" w:customStyle="1" w:styleId="Balk3Char">
    <w:name w:val="Başlık 3 Char"/>
    <w:basedOn w:val="VarsaylanParagrafYazTipi"/>
    <w:link w:val="Balk3"/>
    <w:uiPriority w:val="9"/>
    <w:rsid w:val="009E0D5F"/>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rsid w:val="009E0D5F"/>
    <w:rPr>
      <w:rFonts w:asciiTheme="majorHAnsi" w:eastAsiaTheme="majorEastAsia" w:hAnsiTheme="majorHAnsi" w:cstheme="majorBidi"/>
      <w:sz w:val="24"/>
      <w:szCs w:val="24"/>
    </w:rPr>
  </w:style>
  <w:style w:type="paragraph" w:styleId="ListeParagraf">
    <w:name w:val="List Paragraph"/>
    <w:basedOn w:val="Normal"/>
    <w:uiPriority w:val="34"/>
    <w:qFormat/>
    <w:rsid w:val="006A73DE"/>
    <w:pPr>
      <w:ind w:left="720"/>
      <w:contextualSpacing/>
    </w:pPr>
  </w:style>
  <w:style w:type="paragraph" w:styleId="stBilgi">
    <w:name w:val="header"/>
    <w:basedOn w:val="Normal"/>
    <w:link w:val="stBilgiChar"/>
    <w:uiPriority w:val="99"/>
    <w:unhideWhenUsed/>
    <w:rsid w:val="002558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5841"/>
  </w:style>
  <w:style w:type="paragraph" w:styleId="AltBilgi">
    <w:name w:val="footer"/>
    <w:basedOn w:val="Normal"/>
    <w:link w:val="AltBilgiChar"/>
    <w:uiPriority w:val="99"/>
    <w:unhideWhenUsed/>
    <w:rsid w:val="002558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5841"/>
  </w:style>
  <w:style w:type="character" w:styleId="Gl">
    <w:name w:val="Strong"/>
    <w:basedOn w:val="VarsaylanParagrafYazTipi"/>
    <w:uiPriority w:val="22"/>
    <w:qFormat/>
    <w:rsid w:val="009E0D5F"/>
    <w:rPr>
      <w:b/>
      <w:bCs/>
    </w:rPr>
  </w:style>
  <w:style w:type="table" w:styleId="DzTablo1">
    <w:name w:val="Plain Table 1"/>
    <w:basedOn w:val="NormalTablo"/>
    <w:uiPriority w:val="41"/>
    <w:rsid w:val="002558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5Char">
    <w:name w:val="Başlık 5 Char"/>
    <w:basedOn w:val="VarsaylanParagrafYazTipi"/>
    <w:link w:val="Balk5"/>
    <w:uiPriority w:val="9"/>
    <w:semiHidden/>
    <w:rsid w:val="009E0D5F"/>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9E0D5F"/>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9E0D5F"/>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9E0D5F"/>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9E0D5F"/>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unhideWhenUsed/>
    <w:qFormat/>
    <w:rsid w:val="009E0D5F"/>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9E0D5F"/>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KonuBalChar">
    <w:name w:val="Konu Başlığı Char"/>
    <w:basedOn w:val="VarsaylanParagrafYazTipi"/>
    <w:link w:val="KonuBal"/>
    <w:uiPriority w:val="10"/>
    <w:rsid w:val="009E0D5F"/>
    <w:rPr>
      <w:rFonts w:asciiTheme="majorHAnsi" w:eastAsiaTheme="majorEastAsia" w:hAnsiTheme="majorHAnsi" w:cstheme="majorBidi"/>
      <w:color w:val="2F5496" w:themeColor="accent1" w:themeShade="BF"/>
      <w:spacing w:val="-7"/>
      <w:sz w:val="80"/>
      <w:szCs w:val="80"/>
    </w:rPr>
  </w:style>
  <w:style w:type="paragraph" w:styleId="Altyaz">
    <w:name w:val="Subtitle"/>
    <w:basedOn w:val="Normal"/>
    <w:next w:val="Normal"/>
    <w:link w:val="AltyazChar"/>
    <w:uiPriority w:val="11"/>
    <w:qFormat/>
    <w:rsid w:val="009E0D5F"/>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9E0D5F"/>
    <w:rPr>
      <w:rFonts w:asciiTheme="majorHAnsi" w:eastAsiaTheme="majorEastAsia" w:hAnsiTheme="majorHAnsi" w:cstheme="majorBidi"/>
      <w:color w:val="404040" w:themeColor="text1" w:themeTint="BF"/>
      <w:sz w:val="30"/>
      <w:szCs w:val="30"/>
    </w:rPr>
  </w:style>
  <w:style w:type="character" w:styleId="Vurgu">
    <w:name w:val="Emphasis"/>
    <w:basedOn w:val="VarsaylanParagrafYazTipi"/>
    <w:uiPriority w:val="20"/>
    <w:qFormat/>
    <w:rsid w:val="009E0D5F"/>
    <w:rPr>
      <w:i/>
      <w:iCs/>
    </w:rPr>
  </w:style>
  <w:style w:type="paragraph" w:styleId="AralkYok">
    <w:name w:val="No Spacing"/>
    <w:uiPriority w:val="1"/>
    <w:qFormat/>
    <w:rsid w:val="009E0D5F"/>
    <w:pPr>
      <w:spacing w:after="0" w:line="240" w:lineRule="auto"/>
    </w:pPr>
  </w:style>
  <w:style w:type="paragraph" w:styleId="Alnt">
    <w:name w:val="Quote"/>
    <w:basedOn w:val="Normal"/>
    <w:next w:val="Normal"/>
    <w:link w:val="AlntChar"/>
    <w:uiPriority w:val="29"/>
    <w:qFormat/>
    <w:rsid w:val="009E0D5F"/>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9E0D5F"/>
    <w:rPr>
      <w:i/>
      <w:iCs/>
    </w:rPr>
  </w:style>
  <w:style w:type="paragraph" w:styleId="GlAlnt">
    <w:name w:val="Intense Quote"/>
    <w:basedOn w:val="Normal"/>
    <w:next w:val="Normal"/>
    <w:link w:val="GlAlntChar"/>
    <w:uiPriority w:val="30"/>
    <w:qFormat/>
    <w:rsid w:val="009E0D5F"/>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GlAlntChar">
    <w:name w:val="Güçlü Alıntı Char"/>
    <w:basedOn w:val="VarsaylanParagrafYazTipi"/>
    <w:link w:val="GlAlnt"/>
    <w:uiPriority w:val="30"/>
    <w:rsid w:val="009E0D5F"/>
    <w:rPr>
      <w:rFonts w:asciiTheme="majorHAnsi" w:eastAsiaTheme="majorEastAsia" w:hAnsiTheme="majorHAnsi" w:cstheme="majorBidi"/>
      <w:color w:val="4472C4" w:themeColor="accent1"/>
      <w:sz w:val="28"/>
      <w:szCs w:val="28"/>
    </w:rPr>
  </w:style>
  <w:style w:type="character" w:styleId="HafifVurgulama">
    <w:name w:val="Subtle Emphasis"/>
    <w:basedOn w:val="VarsaylanParagrafYazTipi"/>
    <w:uiPriority w:val="19"/>
    <w:qFormat/>
    <w:rsid w:val="009E0D5F"/>
    <w:rPr>
      <w:i/>
      <w:iCs/>
      <w:color w:val="595959" w:themeColor="text1" w:themeTint="A6"/>
    </w:rPr>
  </w:style>
  <w:style w:type="character" w:styleId="GlVurgulama">
    <w:name w:val="Intense Emphasis"/>
    <w:basedOn w:val="VarsaylanParagrafYazTipi"/>
    <w:uiPriority w:val="21"/>
    <w:qFormat/>
    <w:rsid w:val="009E0D5F"/>
    <w:rPr>
      <w:b/>
      <w:bCs/>
      <w:i/>
      <w:iCs/>
    </w:rPr>
  </w:style>
  <w:style w:type="character" w:styleId="HafifBavuru">
    <w:name w:val="Subtle Reference"/>
    <w:basedOn w:val="VarsaylanParagrafYazTipi"/>
    <w:uiPriority w:val="31"/>
    <w:qFormat/>
    <w:rsid w:val="009E0D5F"/>
    <w:rPr>
      <w:smallCaps/>
      <w:color w:val="404040" w:themeColor="text1" w:themeTint="BF"/>
    </w:rPr>
  </w:style>
  <w:style w:type="character" w:styleId="GlBavuru">
    <w:name w:val="Intense Reference"/>
    <w:basedOn w:val="VarsaylanParagrafYazTipi"/>
    <w:uiPriority w:val="32"/>
    <w:qFormat/>
    <w:rsid w:val="009E0D5F"/>
    <w:rPr>
      <w:b/>
      <w:bCs/>
      <w:smallCaps/>
      <w:u w:val="single"/>
    </w:rPr>
  </w:style>
  <w:style w:type="character" w:styleId="KitapBal">
    <w:name w:val="Book Title"/>
    <w:basedOn w:val="VarsaylanParagrafYazTipi"/>
    <w:uiPriority w:val="33"/>
    <w:qFormat/>
    <w:rsid w:val="009E0D5F"/>
    <w:rPr>
      <w:b/>
      <w:bCs/>
      <w:smallCaps/>
    </w:rPr>
  </w:style>
  <w:style w:type="paragraph" w:styleId="TBal">
    <w:name w:val="TOC Heading"/>
    <w:basedOn w:val="Balk1"/>
    <w:next w:val="Normal"/>
    <w:uiPriority w:val="39"/>
    <w:semiHidden/>
    <w:unhideWhenUsed/>
    <w:qFormat/>
    <w:rsid w:val="009E0D5F"/>
    <w:pPr>
      <w:outlineLvl w:val="9"/>
    </w:pPr>
  </w:style>
  <w:style w:type="paragraph" w:styleId="GvdeMetni">
    <w:name w:val="Body Text"/>
    <w:basedOn w:val="Normal"/>
    <w:link w:val="GvdeMetniChar"/>
    <w:rsid w:val="00BC75F6"/>
    <w:pPr>
      <w:spacing w:line="240" w:lineRule="auto"/>
    </w:pPr>
    <w:rPr>
      <w:rFonts w:ascii="Times New Roman" w:eastAsia="Times New Roman" w:hAnsi="Times New Roman" w:cs="Times New Roman"/>
      <w:sz w:val="20"/>
      <w:szCs w:val="20"/>
      <w:lang w:eastAsia="tr-TR" w:bidi="ar-SA"/>
    </w:rPr>
  </w:style>
  <w:style w:type="character" w:customStyle="1" w:styleId="GvdeMetniChar">
    <w:name w:val="Gövde Metni Char"/>
    <w:basedOn w:val="VarsaylanParagrafYazTipi"/>
    <w:link w:val="GvdeMetni"/>
    <w:rsid w:val="00BC75F6"/>
    <w:rPr>
      <w:rFonts w:ascii="Times New Roman" w:eastAsia="Times New Roman" w:hAnsi="Times New Roman" w:cs="Times New Roman"/>
      <w:sz w:val="20"/>
      <w:szCs w:val="20"/>
      <w:lang w:eastAsia="tr-TR" w:bidi="ar-SA"/>
    </w:rPr>
  </w:style>
  <w:style w:type="paragraph" w:customStyle="1" w:styleId="Text">
    <w:name w:val="Text"/>
    <w:basedOn w:val="Normal"/>
    <w:rsid w:val="00BC75F6"/>
    <w:pPr>
      <w:spacing w:line="280" w:lineRule="atLeast"/>
    </w:pPr>
    <w:rPr>
      <w:rFonts w:ascii="Arial" w:eastAsia="Times New Roman" w:hAnsi="Arial" w:cs="Times New Roman"/>
      <w:sz w:val="22"/>
      <w:szCs w:val="20"/>
      <w:lang w:eastAsia="tr-TR" w:bidi="ar-SA"/>
    </w:rPr>
  </w:style>
  <w:style w:type="table" w:styleId="DzTablo2">
    <w:name w:val="Plain Table 2"/>
    <w:basedOn w:val="NormalTablo"/>
    <w:uiPriority w:val="42"/>
    <w:rsid w:val="00BC75F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
    <w:name w:val="Table Grid"/>
    <w:basedOn w:val="NormalTablo"/>
    <w:uiPriority w:val="39"/>
    <w:rsid w:val="00582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812</Words>
  <Characters>4635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Veyisoğlu</dc:creator>
  <cp:keywords/>
  <dc:description/>
  <cp:lastModifiedBy>Alper Veyisoğlu</cp:lastModifiedBy>
  <cp:revision>5</cp:revision>
  <dcterms:created xsi:type="dcterms:W3CDTF">2023-04-17T14:20:00Z</dcterms:created>
  <dcterms:modified xsi:type="dcterms:W3CDTF">2023-06-04T08:18:00Z</dcterms:modified>
</cp:coreProperties>
</file>