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5D26C" w14:textId="77777777" w:rsidR="00650C07" w:rsidRPr="00920695" w:rsidRDefault="00650C07" w:rsidP="00F335B9">
      <w:pPr>
        <w:numPr>
          <w:ilvl w:val="0"/>
          <w:numId w:val="2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AMAÇ</w:t>
      </w:r>
    </w:p>
    <w:p w14:paraId="5DA64237" w14:textId="5BA88202" w:rsidR="001F1B2B" w:rsidRPr="007E5E72" w:rsidRDefault="00650C07" w:rsidP="001F1B2B">
      <w:pPr>
        <w:ind w:left="709"/>
        <w:jc w:val="both"/>
        <w:rPr>
          <w:rFonts w:ascii="Arial Narrow" w:hAnsi="Arial Narrow"/>
          <w:sz w:val="22"/>
          <w:szCs w:val="22"/>
        </w:rPr>
      </w:pPr>
      <w:r w:rsidRPr="00920695">
        <w:rPr>
          <w:rFonts w:ascii="Arial Narrow" w:hAnsi="Arial Narrow"/>
          <w:sz w:val="22"/>
          <w:szCs w:val="22"/>
        </w:rPr>
        <w:t xml:space="preserve">Bu </w:t>
      </w:r>
      <w:r w:rsidR="00CC7AF3">
        <w:rPr>
          <w:rFonts w:ascii="Arial Narrow" w:hAnsi="Arial Narrow"/>
          <w:sz w:val="22"/>
          <w:szCs w:val="22"/>
        </w:rPr>
        <w:t>talimatın</w:t>
      </w:r>
      <w:r w:rsidRPr="00920695">
        <w:rPr>
          <w:rFonts w:ascii="Arial Narrow" w:hAnsi="Arial Narrow"/>
          <w:sz w:val="22"/>
          <w:szCs w:val="22"/>
        </w:rPr>
        <w:t xml:space="preserve"> amacı, EUROGAP </w:t>
      </w:r>
      <w:r w:rsidR="00022527">
        <w:rPr>
          <w:rFonts w:ascii="Arial Narrow" w:hAnsi="Arial Narrow"/>
          <w:sz w:val="22"/>
          <w:szCs w:val="22"/>
        </w:rPr>
        <w:t xml:space="preserve"> </w:t>
      </w:r>
      <w:r w:rsidRPr="00920695">
        <w:rPr>
          <w:rFonts w:ascii="Arial Narrow" w:hAnsi="Arial Narrow"/>
          <w:sz w:val="22"/>
          <w:szCs w:val="22"/>
        </w:rPr>
        <w:t xml:space="preserve"> </w:t>
      </w:r>
      <w:r w:rsidR="00347F3E">
        <w:rPr>
          <w:rFonts w:ascii="Arial Narrow" w:hAnsi="Arial Narrow"/>
          <w:sz w:val="22"/>
          <w:szCs w:val="22"/>
        </w:rPr>
        <w:t xml:space="preserve">bünyesinde, belgelendirme faaliyetleri </w:t>
      </w:r>
      <w:r w:rsidR="008D6D5B">
        <w:rPr>
          <w:rFonts w:ascii="Arial Narrow" w:hAnsi="Arial Narrow"/>
          <w:sz w:val="22"/>
          <w:szCs w:val="22"/>
        </w:rPr>
        <w:t xml:space="preserve">kapsamında müşterilerden ve ilgili taraflardan gelen itiraz ve </w:t>
      </w:r>
      <w:r w:rsidR="00631E5E">
        <w:rPr>
          <w:rFonts w:ascii="Arial Narrow" w:hAnsi="Arial Narrow"/>
          <w:sz w:val="22"/>
          <w:szCs w:val="22"/>
        </w:rPr>
        <w:t>şikâyetlerin</w:t>
      </w:r>
      <w:r w:rsidR="008D6D5B">
        <w:rPr>
          <w:rFonts w:ascii="Arial Narrow" w:hAnsi="Arial Narrow"/>
          <w:sz w:val="22"/>
          <w:szCs w:val="22"/>
        </w:rPr>
        <w:t xml:space="preserve"> bağımsız ve tarafsız olarak değerlendirilmesi ve sonuçlandırılması amacıyla oluşturulmuş olan İtiraz ve </w:t>
      </w:r>
      <w:r w:rsidR="00631E5E">
        <w:rPr>
          <w:rFonts w:ascii="Arial Narrow" w:hAnsi="Arial Narrow"/>
          <w:sz w:val="22"/>
          <w:szCs w:val="22"/>
        </w:rPr>
        <w:t>Şikâyet</w:t>
      </w:r>
      <w:r w:rsidR="008D6D5B">
        <w:rPr>
          <w:rFonts w:ascii="Arial Narrow" w:hAnsi="Arial Narrow"/>
          <w:sz w:val="22"/>
          <w:szCs w:val="22"/>
        </w:rPr>
        <w:t xml:space="preserve"> Değerlendirme Komitesi’ </w:t>
      </w:r>
      <w:proofErr w:type="spellStart"/>
      <w:r w:rsidR="008D6D5B">
        <w:rPr>
          <w:rFonts w:ascii="Arial Narrow" w:hAnsi="Arial Narrow"/>
          <w:sz w:val="22"/>
          <w:szCs w:val="22"/>
        </w:rPr>
        <w:t>nin</w:t>
      </w:r>
      <w:proofErr w:type="spellEnd"/>
      <w:r w:rsidR="00347F3E">
        <w:rPr>
          <w:rFonts w:ascii="Arial Narrow" w:hAnsi="Arial Narrow"/>
          <w:sz w:val="22"/>
          <w:szCs w:val="22"/>
        </w:rPr>
        <w:t xml:space="preserve"> çalışma faaliyetlerine ilişkin esasların </w:t>
      </w:r>
      <w:r w:rsidR="001F1B2B" w:rsidRPr="007E5E72">
        <w:rPr>
          <w:rFonts w:ascii="Arial Narrow" w:hAnsi="Arial Narrow"/>
          <w:sz w:val="22"/>
          <w:szCs w:val="22"/>
        </w:rPr>
        <w:t>belirlenmesidir.</w:t>
      </w:r>
    </w:p>
    <w:p w14:paraId="4E470EAC" w14:textId="77777777" w:rsidR="00650C07" w:rsidRPr="00920695" w:rsidRDefault="008D643A" w:rsidP="00650C07">
      <w:pPr>
        <w:ind w:left="709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 xml:space="preserve"> </w:t>
      </w:r>
    </w:p>
    <w:p w14:paraId="170ABC65" w14:textId="77777777" w:rsidR="00650C07" w:rsidRPr="00920695" w:rsidRDefault="00650C07" w:rsidP="00F335B9">
      <w:pPr>
        <w:numPr>
          <w:ilvl w:val="0"/>
          <w:numId w:val="2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KAPSAM</w:t>
      </w:r>
    </w:p>
    <w:p w14:paraId="11EA355A" w14:textId="77777777" w:rsidR="008D643A" w:rsidRDefault="00CC7AF3" w:rsidP="00650C07">
      <w:p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 talimat</w:t>
      </w:r>
      <w:r w:rsidR="00650C07" w:rsidRPr="00920695">
        <w:rPr>
          <w:rFonts w:ascii="Arial Narrow" w:hAnsi="Arial Narrow"/>
          <w:sz w:val="22"/>
          <w:szCs w:val="22"/>
        </w:rPr>
        <w:t>,</w:t>
      </w:r>
      <w:r w:rsidR="00650C07" w:rsidRPr="00920695">
        <w:rPr>
          <w:rFonts w:ascii="Arial Narrow" w:hAnsi="Arial Narrow"/>
          <w:b/>
          <w:sz w:val="22"/>
          <w:szCs w:val="22"/>
        </w:rPr>
        <w:t xml:space="preserve"> </w:t>
      </w:r>
      <w:r w:rsidR="008D6D5B">
        <w:rPr>
          <w:rFonts w:ascii="Arial Narrow" w:hAnsi="Arial Narrow"/>
          <w:sz w:val="22"/>
          <w:szCs w:val="22"/>
        </w:rPr>
        <w:t xml:space="preserve">belgelendirme faaliyetleri müşterilerden ve ilgili taraflardan gelen tüm itiraz ve </w:t>
      </w:r>
      <w:r w:rsidR="00631E5E">
        <w:rPr>
          <w:rFonts w:ascii="Arial Narrow" w:hAnsi="Arial Narrow"/>
          <w:sz w:val="22"/>
          <w:szCs w:val="22"/>
        </w:rPr>
        <w:t>şikâyetlerin</w:t>
      </w:r>
      <w:r w:rsidR="008D6D5B">
        <w:rPr>
          <w:rFonts w:ascii="Arial Narrow" w:hAnsi="Arial Narrow"/>
          <w:sz w:val="22"/>
          <w:szCs w:val="22"/>
        </w:rPr>
        <w:t xml:space="preserve"> bağımsız ve tarafsız olarak değerlendirilmesi ve sonuçlandırılması faaliyetlerini</w:t>
      </w:r>
      <w:r w:rsidR="00347F3E">
        <w:rPr>
          <w:rFonts w:ascii="Arial Narrow" w:hAnsi="Arial Narrow"/>
          <w:sz w:val="22"/>
          <w:szCs w:val="22"/>
        </w:rPr>
        <w:t xml:space="preserve"> kapsar.</w:t>
      </w:r>
    </w:p>
    <w:p w14:paraId="610D7C2F" w14:textId="77777777" w:rsidR="00650C07" w:rsidRPr="00920695" w:rsidRDefault="008D643A" w:rsidP="00650C07">
      <w:pPr>
        <w:ind w:left="709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 xml:space="preserve"> </w:t>
      </w:r>
    </w:p>
    <w:p w14:paraId="5D6203A5" w14:textId="77777777" w:rsidR="00650C07" w:rsidRPr="00920695" w:rsidRDefault="00650C07" w:rsidP="00F335B9">
      <w:pPr>
        <w:numPr>
          <w:ilvl w:val="0"/>
          <w:numId w:val="2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920695">
        <w:rPr>
          <w:rFonts w:ascii="Arial Narrow" w:hAnsi="Arial Narrow"/>
          <w:b/>
          <w:sz w:val="22"/>
          <w:szCs w:val="22"/>
        </w:rPr>
        <w:t>SORUMLULUK VE YETKİLER</w:t>
      </w:r>
    </w:p>
    <w:p w14:paraId="1432B25A" w14:textId="77777777" w:rsidR="009240DC" w:rsidRDefault="008D643A" w:rsidP="008D643A">
      <w:p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Bu talimatta anlatılan </w:t>
      </w:r>
      <w:r w:rsidR="001F1B2B">
        <w:rPr>
          <w:rFonts w:ascii="Arial Narrow" w:hAnsi="Arial Narrow"/>
          <w:sz w:val="22"/>
          <w:szCs w:val="22"/>
        </w:rPr>
        <w:t xml:space="preserve">toplantı faaliyetlerinin uygulanmasından, </w:t>
      </w:r>
      <w:r w:rsidR="008D6D5B">
        <w:rPr>
          <w:rFonts w:ascii="Arial Narrow" w:hAnsi="Arial Narrow"/>
          <w:sz w:val="22"/>
          <w:szCs w:val="22"/>
        </w:rPr>
        <w:t xml:space="preserve">İtiraz ve </w:t>
      </w:r>
      <w:r w:rsidR="00C35F0A">
        <w:rPr>
          <w:rFonts w:ascii="Arial Narrow" w:hAnsi="Arial Narrow"/>
          <w:sz w:val="22"/>
          <w:szCs w:val="22"/>
        </w:rPr>
        <w:t>Şikâyet</w:t>
      </w:r>
      <w:r w:rsidR="008D6D5B">
        <w:rPr>
          <w:rFonts w:ascii="Arial Narrow" w:hAnsi="Arial Narrow"/>
          <w:sz w:val="22"/>
          <w:szCs w:val="22"/>
        </w:rPr>
        <w:t xml:space="preserve"> Değerlendirme Komitesi</w:t>
      </w:r>
      <w:r w:rsidR="00347F3E">
        <w:rPr>
          <w:rFonts w:ascii="Arial Narrow" w:hAnsi="Arial Narrow"/>
          <w:sz w:val="22"/>
          <w:szCs w:val="22"/>
        </w:rPr>
        <w:t xml:space="preserve"> üyeleri </w:t>
      </w:r>
      <w:r>
        <w:rPr>
          <w:rFonts w:ascii="Arial Narrow" w:hAnsi="Arial Narrow"/>
          <w:sz w:val="22"/>
          <w:szCs w:val="22"/>
        </w:rPr>
        <w:t>sorumludur.</w:t>
      </w:r>
    </w:p>
    <w:p w14:paraId="77F0DF43" w14:textId="77777777" w:rsidR="008D643A" w:rsidRPr="00920695" w:rsidRDefault="008D643A" w:rsidP="008D643A">
      <w:pPr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6EB212DC" w14:textId="77777777" w:rsidR="008D643A" w:rsidRDefault="008D643A" w:rsidP="00F335B9">
      <w:pPr>
        <w:numPr>
          <w:ilvl w:val="0"/>
          <w:numId w:val="2"/>
        </w:numPr>
        <w:ind w:left="709" w:firstLine="0"/>
        <w:jc w:val="both"/>
        <w:rPr>
          <w:rFonts w:ascii="Arial Narrow" w:hAnsi="Arial Narrow"/>
          <w:b/>
          <w:sz w:val="22"/>
          <w:szCs w:val="22"/>
        </w:rPr>
      </w:pPr>
      <w:r w:rsidRPr="001400F1">
        <w:rPr>
          <w:rFonts w:ascii="Arial Narrow" w:hAnsi="Arial Narrow"/>
          <w:b/>
          <w:sz w:val="22"/>
          <w:szCs w:val="22"/>
        </w:rPr>
        <w:t>UYGULAMA</w:t>
      </w:r>
    </w:p>
    <w:p w14:paraId="408A7623" w14:textId="77777777" w:rsidR="001400F1" w:rsidRPr="001400F1" w:rsidRDefault="001400F1" w:rsidP="001400F1">
      <w:pPr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1AE2EC11" w14:textId="77777777" w:rsidR="001400F1" w:rsidRPr="001400F1" w:rsidRDefault="001400F1" w:rsidP="00F335B9">
      <w:pPr>
        <w:numPr>
          <w:ilvl w:val="1"/>
          <w:numId w:val="2"/>
        </w:numPr>
        <w:ind w:right="140"/>
        <w:jc w:val="both"/>
        <w:rPr>
          <w:rFonts w:ascii="Arial Narrow" w:hAnsi="Arial Narrow"/>
          <w:b/>
          <w:sz w:val="22"/>
          <w:szCs w:val="22"/>
        </w:rPr>
      </w:pPr>
      <w:r w:rsidRPr="001400F1">
        <w:rPr>
          <w:rFonts w:ascii="Arial Narrow" w:hAnsi="Arial Narrow"/>
          <w:b/>
          <w:sz w:val="22"/>
          <w:szCs w:val="22"/>
        </w:rPr>
        <w:t xml:space="preserve">Genel </w:t>
      </w:r>
    </w:p>
    <w:p w14:paraId="0E87095E" w14:textId="4453389E" w:rsidR="008D643A" w:rsidRDefault="008D6D5B" w:rsidP="00F335B9">
      <w:pPr>
        <w:numPr>
          <w:ilvl w:val="2"/>
          <w:numId w:val="2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7A26FC">
        <w:rPr>
          <w:rFonts w:ascii="Arial Narrow" w:hAnsi="Arial Narrow"/>
          <w:sz w:val="22"/>
          <w:szCs w:val="22"/>
        </w:rPr>
        <w:t xml:space="preserve">İtiraz ve </w:t>
      </w:r>
      <w:r w:rsidR="006A13CA" w:rsidRPr="007A26FC">
        <w:rPr>
          <w:rFonts w:ascii="Arial Narrow" w:hAnsi="Arial Narrow"/>
          <w:sz w:val="22"/>
          <w:szCs w:val="22"/>
        </w:rPr>
        <w:t>Şikâyet</w:t>
      </w:r>
      <w:r w:rsidRPr="007A26FC">
        <w:rPr>
          <w:rFonts w:ascii="Arial Narrow" w:hAnsi="Arial Narrow"/>
          <w:sz w:val="22"/>
          <w:szCs w:val="22"/>
        </w:rPr>
        <w:t xml:space="preserve"> Değerlendirme Komitesi, </w:t>
      </w:r>
      <w:r w:rsidR="00347F3E" w:rsidRPr="007A26FC">
        <w:rPr>
          <w:rFonts w:ascii="Arial Narrow" w:hAnsi="Arial Narrow"/>
          <w:sz w:val="22"/>
          <w:szCs w:val="22"/>
        </w:rPr>
        <w:t xml:space="preserve">EUROGAP </w:t>
      </w:r>
      <w:r w:rsidR="00022527">
        <w:rPr>
          <w:rFonts w:ascii="Arial Narrow" w:hAnsi="Arial Narrow"/>
          <w:sz w:val="22"/>
          <w:szCs w:val="22"/>
        </w:rPr>
        <w:t xml:space="preserve"> </w:t>
      </w:r>
      <w:r w:rsidR="00347F3E" w:rsidRPr="007A26FC">
        <w:rPr>
          <w:rFonts w:ascii="Arial Narrow" w:hAnsi="Arial Narrow"/>
          <w:sz w:val="22"/>
          <w:szCs w:val="22"/>
        </w:rPr>
        <w:t xml:space="preserve"> bünyesinde </w:t>
      </w:r>
      <w:r w:rsidRPr="007A26FC">
        <w:rPr>
          <w:rFonts w:ascii="Arial Narrow" w:hAnsi="Arial Narrow"/>
          <w:sz w:val="22"/>
          <w:szCs w:val="22"/>
        </w:rPr>
        <w:t xml:space="preserve">yürütülen </w:t>
      </w:r>
      <w:r w:rsidR="00347F3E" w:rsidRPr="007A26FC">
        <w:rPr>
          <w:rFonts w:ascii="Arial Narrow" w:hAnsi="Arial Narrow"/>
          <w:sz w:val="22"/>
          <w:szCs w:val="22"/>
        </w:rPr>
        <w:t xml:space="preserve">belgelendirme </w:t>
      </w:r>
      <w:r w:rsidRPr="007A26FC">
        <w:rPr>
          <w:rFonts w:ascii="Arial Narrow" w:hAnsi="Arial Narrow"/>
          <w:sz w:val="22"/>
          <w:szCs w:val="22"/>
        </w:rPr>
        <w:t>faaliyetleri</w:t>
      </w:r>
      <w:r w:rsidR="007A26FC" w:rsidRPr="007A26FC">
        <w:rPr>
          <w:rFonts w:ascii="Arial Narrow" w:hAnsi="Arial Narrow"/>
          <w:sz w:val="22"/>
          <w:szCs w:val="22"/>
        </w:rPr>
        <w:t xml:space="preserve"> kapsamında, müşterilerde</w:t>
      </w:r>
      <w:r w:rsidRPr="007A26FC">
        <w:rPr>
          <w:rFonts w:ascii="Arial Narrow" w:hAnsi="Arial Narrow"/>
          <w:sz w:val="22"/>
          <w:szCs w:val="22"/>
        </w:rPr>
        <w:t xml:space="preserve">n ve ilgili taraflardan gelen itiraz ve </w:t>
      </w:r>
      <w:r w:rsidR="006A13CA" w:rsidRPr="007A26FC">
        <w:rPr>
          <w:rFonts w:ascii="Arial Narrow" w:hAnsi="Arial Narrow"/>
          <w:sz w:val="22"/>
          <w:szCs w:val="22"/>
        </w:rPr>
        <w:t>şikâyetlerin</w:t>
      </w:r>
      <w:r w:rsidRPr="007A26FC">
        <w:rPr>
          <w:rFonts w:ascii="Arial Narrow" w:hAnsi="Arial Narrow"/>
          <w:sz w:val="22"/>
          <w:szCs w:val="22"/>
        </w:rPr>
        <w:t xml:space="preserve"> tarafsız ve bağımsız olarak ele alınması, değerlendirilmesi ve sonuçlandırılması amacıyla oluşturulmuştur.</w:t>
      </w:r>
    </w:p>
    <w:p w14:paraId="6D7F0FAC" w14:textId="77777777" w:rsidR="007A26FC" w:rsidRPr="007A26FC" w:rsidRDefault="007A26FC" w:rsidP="007A26FC">
      <w:pPr>
        <w:ind w:left="1418" w:right="140"/>
        <w:jc w:val="both"/>
        <w:rPr>
          <w:rFonts w:ascii="Arial Narrow" w:hAnsi="Arial Narrow"/>
          <w:sz w:val="22"/>
          <w:szCs w:val="22"/>
        </w:rPr>
      </w:pPr>
    </w:p>
    <w:p w14:paraId="3E891FFD" w14:textId="77777777" w:rsidR="008D6D5B" w:rsidRDefault="007A26FC" w:rsidP="00F335B9">
      <w:pPr>
        <w:numPr>
          <w:ilvl w:val="2"/>
          <w:numId w:val="2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7A26FC">
        <w:rPr>
          <w:rFonts w:ascii="Arial Narrow" w:hAnsi="Arial Narrow"/>
          <w:sz w:val="22"/>
          <w:szCs w:val="22"/>
        </w:rPr>
        <w:t xml:space="preserve">İtiraz ve </w:t>
      </w:r>
      <w:r w:rsidR="006A13CA" w:rsidRPr="007A26FC">
        <w:rPr>
          <w:rFonts w:ascii="Arial Narrow" w:hAnsi="Arial Narrow"/>
          <w:sz w:val="22"/>
          <w:szCs w:val="22"/>
        </w:rPr>
        <w:t>Şikâyet</w:t>
      </w:r>
      <w:r w:rsidRPr="007A26FC">
        <w:rPr>
          <w:rFonts w:ascii="Arial Narrow" w:hAnsi="Arial Narrow"/>
          <w:sz w:val="22"/>
          <w:szCs w:val="22"/>
        </w:rPr>
        <w:t xml:space="preserve"> Değerlendirme Komitesi</w:t>
      </w:r>
      <w:r w:rsidR="008D6D5B" w:rsidRPr="007A26FC">
        <w:rPr>
          <w:rFonts w:ascii="Arial Narrow" w:hAnsi="Arial Narrow"/>
          <w:sz w:val="22"/>
          <w:szCs w:val="22"/>
        </w:rPr>
        <w:t xml:space="preserve">, </w:t>
      </w:r>
      <w:r w:rsidR="00C35F0A">
        <w:rPr>
          <w:rFonts w:ascii="Arial Narrow" w:hAnsi="Arial Narrow"/>
          <w:sz w:val="22"/>
          <w:szCs w:val="22"/>
        </w:rPr>
        <w:t>3 üyeden</w:t>
      </w:r>
      <w:r w:rsidR="008D6D5B" w:rsidRPr="007A26FC">
        <w:rPr>
          <w:rFonts w:ascii="Arial Narrow" w:hAnsi="Arial Narrow"/>
          <w:sz w:val="22"/>
          <w:szCs w:val="22"/>
        </w:rPr>
        <w:t xml:space="preserve"> oluşmaktadır. İtiraz ve </w:t>
      </w:r>
      <w:r w:rsidR="006A13CA" w:rsidRPr="007A26FC">
        <w:rPr>
          <w:rFonts w:ascii="Arial Narrow" w:hAnsi="Arial Narrow"/>
          <w:sz w:val="22"/>
          <w:szCs w:val="22"/>
        </w:rPr>
        <w:t>Şikâyet</w:t>
      </w:r>
      <w:r w:rsidR="008D6D5B" w:rsidRPr="007A26FC">
        <w:rPr>
          <w:rFonts w:ascii="Arial Narrow" w:hAnsi="Arial Narrow"/>
          <w:sz w:val="22"/>
          <w:szCs w:val="22"/>
        </w:rPr>
        <w:t xml:space="preserve"> Değerlendirme Komitesi üyeleri, </w:t>
      </w:r>
      <w:r w:rsidR="00C35F0A">
        <w:rPr>
          <w:rFonts w:ascii="Arial Narrow" w:hAnsi="Arial Narrow"/>
          <w:sz w:val="22"/>
          <w:szCs w:val="22"/>
        </w:rPr>
        <w:t xml:space="preserve">ihtiyaç durumunda </w:t>
      </w:r>
      <w:r w:rsidR="008D6D5B" w:rsidRPr="007A26FC">
        <w:rPr>
          <w:rFonts w:ascii="Arial Narrow" w:hAnsi="Arial Narrow"/>
          <w:sz w:val="22"/>
          <w:szCs w:val="22"/>
        </w:rPr>
        <w:t xml:space="preserve">Belgelendirme Yöneticisi tarafından </w:t>
      </w:r>
      <w:r w:rsidR="00C35F0A">
        <w:rPr>
          <w:rFonts w:ascii="Arial Narrow" w:hAnsi="Arial Narrow"/>
          <w:sz w:val="22"/>
          <w:szCs w:val="22"/>
        </w:rPr>
        <w:t xml:space="preserve">itiraz/şikâyete konu olan durumdan bağımsız kişilerden </w:t>
      </w:r>
      <w:r w:rsidR="008D6D5B" w:rsidRPr="007A26FC">
        <w:rPr>
          <w:rFonts w:ascii="Arial Narrow" w:hAnsi="Arial Narrow"/>
          <w:sz w:val="22"/>
          <w:szCs w:val="22"/>
        </w:rPr>
        <w:t>belirlenir</w:t>
      </w:r>
      <w:r w:rsidR="00C35F0A">
        <w:rPr>
          <w:rFonts w:ascii="Arial Narrow" w:hAnsi="Arial Narrow"/>
          <w:sz w:val="22"/>
          <w:szCs w:val="22"/>
        </w:rPr>
        <w:t>.</w:t>
      </w:r>
    </w:p>
    <w:p w14:paraId="2D9CF2F8" w14:textId="77777777" w:rsidR="009C1ECB" w:rsidRDefault="009C1ECB" w:rsidP="009C1ECB">
      <w:pPr>
        <w:pStyle w:val="ListeParagraf"/>
        <w:rPr>
          <w:rFonts w:ascii="Arial Narrow" w:hAnsi="Arial Narrow"/>
          <w:sz w:val="22"/>
          <w:szCs w:val="22"/>
        </w:rPr>
      </w:pPr>
    </w:p>
    <w:p w14:paraId="7921E790" w14:textId="77777777" w:rsidR="009C1ECB" w:rsidRDefault="009C1ECB" w:rsidP="00F335B9">
      <w:pPr>
        <w:numPr>
          <w:ilvl w:val="2"/>
          <w:numId w:val="2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7A26FC">
        <w:rPr>
          <w:rFonts w:ascii="Arial Narrow" w:hAnsi="Arial Narrow"/>
          <w:sz w:val="22"/>
          <w:szCs w:val="22"/>
        </w:rPr>
        <w:t>İtiraz ve Şikâyet Değerlendirme Komitesi</w:t>
      </w:r>
      <w:r>
        <w:rPr>
          <w:rFonts w:ascii="Arial Narrow" w:hAnsi="Arial Narrow"/>
          <w:sz w:val="22"/>
          <w:szCs w:val="22"/>
        </w:rPr>
        <w:t xml:space="preserve">’ </w:t>
      </w:r>
      <w:proofErr w:type="spellStart"/>
      <w:r>
        <w:rPr>
          <w:rFonts w:ascii="Arial Narrow" w:hAnsi="Arial Narrow"/>
          <w:sz w:val="22"/>
          <w:szCs w:val="22"/>
        </w:rPr>
        <w:t>nde</w:t>
      </w:r>
      <w:proofErr w:type="spellEnd"/>
      <w:r>
        <w:rPr>
          <w:rFonts w:ascii="Arial Narrow" w:hAnsi="Arial Narrow"/>
          <w:sz w:val="22"/>
          <w:szCs w:val="22"/>
        </w:rPr>
        <w:t xml:space="preserve"> bulunan üyelerin vekâlet uygulaması söz konusu değildir.</w:t>
      </w:r>
    </w:p>
    <w:p w14:paraId="24BD667E" w14:textId="77777777" w:rsidR="009C1ECB" w:rsidRDefault="009C1ECB" w:rsidP="009C1ECB">
      <w:pPr>
        <w:pStyle w:val="ListeParagraf"/>
        <w:rPr>
          <w:rFonts w:ascii="Arial Narrow" w:hAnsi="Arial Narrow"/>
          <w:sz w:val="22"/>
          <w:szCs w:val="22"/>
        </w:rPr>
      </w:pPr>
    </w:p>
    <w:p w14:paraId="1111A7E6" w14:textId="77777777" w:rsidR="00A74EA5" w:rsidRDefault="009C1ECB" w:rsidP="00F335B9">
      <w:pPr>
        <w:numPr>
          <w:ilvl w:val="2"/>
          <w:numId w:val="2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Gerektiğinde </w:t>
      </w:r>
      <w:r w:rsidRPr="007A26FC">
        <w:rPr>
          <w:rFonts w:ascii="Arial Narrow" w:hAnsi="Arial Narrow"/>
          <w:sz w:val="22"/>
          <w:szCs w:val="22"/>
        </w:rPr>
        <w:t>İtiraz ve Şikâyet Değerlendirme Komitesi</w:t>
      </w:r>
      <w:r>
        <w:rPr>
          <w:rFonts w:ascii="Arial Narrow" w:hAnsi="Arial Narrow"/>
          <w:sz w:val="22"/>
          <w:szCs w:val="22"/>
        </w:rPr>
        <w:t xml:space="preserve">’ ne dışarıdan bilgi almak amacıyla teknik uzman davet edilebilir, ancak karar verme yetkisi yoktur sadece </w:t>
      </w:r>
      <w:r w:rsidR="00125950">
        <w:rPr>
          <w:rFonts w:ascii="Arial Narrow" w:hAnsi="Arial Narrow"/>
          <w:sz w:val="22"/>
          <w:szCs w:val="22"/>
        </w:rPr>
        <w:t xml:space="preserve">teknik açıdan </w:t>
      </w:r>
      <w:proofErr w:type="spellStart"/>
      <w:r w:rsidR="00125950">
        <w:rPr>
          <w:rFonts w:ascii="Arial Narrow" w:hAnsi="Arial Narrow"/>
          <w:sz w:val="22"/>
          <w:szCs w:val="22"/>
        </w:rPr>
        <w:t>sektörel</w:t>
      </w:r>
      <w:proofErr w:type="spellEnd"/>
      <w:r w:rsidR="0012595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görüş bildirir.</w:t>
      </w:r>
    </w:p>
    <w:p w14:paraId="6D62D7E7" w14:textId="77777777" w:rsidR="009C1ECB" w:rsidRPr="009C1ECB" w:rsidRDefault="009C1ECB" w:rsidP="009C1ECB">
      <w:pPr>
        <w:ind w:left="1418" w:right="140"/>
        <w:jc w:val="both"/>
        <w:rPr>
          <w:rFonts w:ascii="Arial Narrow" w:hAnsi="Arial Narrow"/>
          <w:sz w:val="22"/>
          <w:szCs w:val="22"/>
        </w:rPr>
      </w:pPr>
    </w:p>
    <w:p w14:paraId="04019F59" w14:textId="77777777" w:rsidR="00C55A06" w:rsidRDefault="00A74EA5" w:rsidP="00F335B9">
      <w:pPr>
        <w:numPr>
          <w:ilvl w:val="2"/>
          <w:numId w:val="2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7A26FC">
        <w:rPr>
          <w:rFonts w:ascii="Arial Narrow" w:hAnsi="Arial Narrow"/>
          <w:sz w:val="22"/>
          <w:szCs w:val="22"/>
        </w:rPr>
        <w:t xml:space="preserve">İtiraz ve </w:t>
      </w:r>
      <w:r w:rsidR="006A13CA" w:rsidRPr="007A26FC">
        <w:rPr>
          <w:rFonts w:ascii="Arial Narrow" w:hAnsi="Arial Narrow"/>
          <w:sz w:val="22"/>
          <w:szCs w:val="22"/>
        </w:rPr>
        <w:t>Şikâyet</w:t>
      </w:r>
      <w:r w:rsidRPr="007A26FC">
        <w:rPr>
          <w:rFonts w:ascii="Arial Narrow" w:hAnsi="Arial Narrow"/>
          <w:sz w:val="22"/>
          <w:szCs w:val="22"/>
        </w:rPr>
        <w:t xml:space="preserve"> Değerlendirme Komitesi</w:t>
      </w:r>
      <w:r>
        <w:rPr>
          <w:rFonts w:ascii="Arial Narrow" w:hAnsi="Arial Narrow"/>
          <w:sz w:val="22"/>
          <w:szCs w:val="22"/>
        </w:rPr>
        <w:t xml:space="preserve"> tarafından gerçekleştirilecek olan toplantılar Belgelendirme Yöneticisi tarafından planlanır, komite üyelerine bildirilir, toplantı sonunda alınan kararlar ve </w:t>
      </w:r>
      <w:r w:rsidR="00C55A06" w:rsidRPr="00C55A06">
        <w:rPr>
          <w:rFonts w:ascii="Arial Narrow" w:hAnsi="Arial Narrow"/>
          <w:b/>
          <w:sz w:val="22"/>
          <w:szCs w:val="22"/>
        </w:rPr>
        <w:t>FR.0</w:t>
      </w:r>
      <w:r w:rsidR="00C35F0A">
        <w:rPr>
          <w:rFonts w:ascii="Arial Narrow" w:hAnsi="Arial Narrow"/>
          <w:b/>
          <w:sz w:val="22"/>
          <w:szCs w:val="22"/>
        </w:rPr>
        <w:t>5</w:t>
      </w:r>
      <w:r w:rsidR="00C55A06" w:rsidRPr="00C55A06">
        <w:rPr>
          <w:rFonts w:ascii="Arial Narrow" w:hAnsi="Arial Narrow"/>
          <w:b/>
          <w:sz w:val="22"/>
          <w:szCs w:val="22"/>
        </w:rPr>
        <w:t xml:space="preserve">5 </w:t>
      </w:r>
      <w:r w:rsidR="00C35F0A">
        <w:rPr>
          <w:rFonts w:ascii="Arial Narrow" w:hAnsi="Arial Narrow"/>
          <w:b/>
          <w:sz w:val="22"/>
          <w:szCs w:val="22"/>
        </w:rPr>
        <w:t xml:space="preserve">Toplantı Tutanağı’ </w:t>
      </w:r>
      <w:proofErr w:type="spellStart"/>
      <w:r w:rsidR="00C35F0A" w:rsidRPr="00C35F0A">
        <w:rPr>
          <w:rFonts w:ascii="Arial Narrow" w:hAnsi="Arial Narrow"/>
          <w:sz w:val="22"/>
          <w:szCs w:val="22"/>
        </w:rPr>
        <w:t>nda</w:t>
      </w:r>
      <w:proofErr w:type="spellEnd"/>
      <w:r w:rsidR="00C35F0A">
        <w:rPr>
          <w:rFonts w:ascii="Arial Narrow" w:hAnsi="Arial Narrow"/>
          <w:sz w:val="22"/>
          <w:szCs w:val="22"/>
        </w:rPr>
        <w:t xml:space="preserve"> </w:t>
      </w:r>
      <w:r w:rsidR="00C55A06" w:rsidRPr="00C55A06">
        <w:rPr>
          <w:rFonts w:ascii="Arial Narrow" w:hAnsi="Arial Narrow"/>
          <w:sz w:val="22"/>
          <w:szCs w:val="22"/>
        </w:rPr>
        <w:t xml:space="preserve">kayıt altına alınır ve </w:t>
      </w:r>
      <w:r w:rsidR="00C35F0A">
        <w:rPr>
          <w:rFonts w:ascii="Arial Narrow" w:hAnsi="Arial Narrow"/>
          <w:sz w:val="22"/>
          <w:szCs w:val="22"/>
        </w:rPr>
        <w:t xml:space="preserve">komite kararı, </w:t>
      </w:r>
      <w:r w:rsidR="00C35F0A" w:rsidRPr="00125950">
        <w:rPr>
          <w:rFonts w:ascii="Arial Narrow" w:hAnsi="Arial Narrow"/>
          <w:b/>
          <w:sz w:val="22"/>
          <w:szCs w:val="22"/>
        </w:rPr>
        <w:t xml:space="preserve">FR.034 İtiraz ve </w:t>
      </w:r>
      <w:proofErr w:type="gramStart"/>
      <w:r w:rsidR="00C35F0A" w:rsidRPr="00125950">
        <w:rPr>
          <w:rFonts w:ascii="Arial Narrow" w:hAnsi="Arial Narrow"/>
          <w:b/>
          <w:sz w:val="22"/>
          <w:szCs w:val="22"/>
        </w:rPr>
        <w:t>Şikayet</w:t>
      </w:r>
      <w:proofErr w:type="gramEnd"/>
      <w:r w:rsidR="00C35F0A" w:rsidRPr="00125950">
        <w:rPr>
          <w:rFonts w:ascii="Arial Narrow" w:hAnsi="Arial Narrow"/>
          <w:b/>
          <w:sz w:val="22"/>
          <w:szCs w:val="22"/>
        </w:rPr>
        <w:t xml:space="preserve"> Değerlendirme Formu’</w:t>
      </w:r>
      <w:r w:rsidR="00C35F0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35F0A">
        <w:rPr>
          <w:rFonts w:ascii="Arial Narrow" w:hAnsi="Arial Narrow"/>
          <w:sz w:val="22"/>
          <w:szCs w:val="22"/>
        </w:rPr>
        <w:t>nda</w:t>
      </w:r>
      <w:proofErr w:type="spellEnd"/>
      <w:r w:rsidR="00C35F0A">
        <w:rPr>
          <w:rFonts w:ascii="Arial Narrow" w:hAnsi="Arial Narrow"/>
          <w:sz w:val="22"/>
          <w:szCs w:val="22"/>
        </w:rPr>
        <w:t xml:space="preserve"> belirtilerek Belgelendirme Yöneticisi ve Genel Koordinatör tarafından onaylanarak kabul edilir.  </w:t>
      </w:r>
    </w:p>
    <w:p w14:paraId="4D4AD87F" w14:textId="77777777" w:rsidR="00C55A06" w:rsidRDefault="00C55A06" w:rsidP="00C55A06">
      <w:pPr>
        <w:pStyle w:val="ListeParagraf"/>
        <w:rPr>
          <w:rFonts w:ascii="Arial Narrow" w:hAnsi="Arial Narrow"/>
          <w:sz w:val="22"/>
          <w:szCs w:val="22"/>
        </w:rPr>
      </w:pPr>
    </w:p>
    <w:p w14:paraId="4B605EB2" w14:textId="77777777" w:rsidR="00C55A06" w:rsidRDefault="00C55A06" w:rsidP="00F335B9">
      <w:pPr>
        <w:numPr>
          <w:ilvl w:val="2"/>
          <w:numId w:val="2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Alınan kararların müşteri ya da ilgili taraflara yazılı olarak bildirimi Belgelendirme Yöneticisi tarafından</w:t>
      </w:r>
      <w:r w:rsidR="006A13CA">
        <w:rPr>
          <w:rFonts w:ascii="Arial Narrow" w:hAnsi="Arial Narrow"/>
          <w:sz w:val="22"/>
          <w:szCs w:val="22"/>
        </w:rPr>
        <w:t xml:space="preserve"> yapılır.</w:t>
      </w:r>
    </w:p>
    <w:p w14:paraId="4B1DB558" w14:textId="77777777" w:rsidR="009C1ECB" w:rsidRDefault="009C1ECB" w:rsidP="009C1ECB">
      <w:pPr>
        <w:pStyle w:val="ListeParagraf"/>
        <w:rPr>
          <w:rFonts w:ascii="Arial Narrow" w:hAnsi="Arial Narrow"/>
          <w:sz w:val="22"/>
          <w:szCs w:val="22"/>
        </w:rPr>
      </w:pPr>
    </w:p>
    <w:p w14:paraId="4DC2D346" w14:textId="77777777" w:rsidR="009C1ECB" w:rsidRPr="00250BA2" w:rsidRDefault="009C1ECB" w:rsidP="00F335B9">
      <w:pPr>
        <w:numPr>
          <w:ilvl w:val="2"/>
          <w:numId w:val="1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250BA2">
        <w:rPr>
          <w:rFonts w:ascii="Arial Narrow" w:hAnsi="Arial Narrow"/>
          <w:sz w:val="22"/>
          <w:szCs w:val="22"/>
        </w:rPr>
        <w:t xml:space="preserve">İtirazların </w:t>
      </w:r>
      <w:r>
        <w:rPr>
          <w:rFonts w:ascii="Arial Narrow" w:hAnsi="Arial Narrow"/>
          <w:sz w:val="22"/>
          <w:szCs w:val="22"/>
        </w:rPr>
        <w:t xml:space="preserve">ve </w:t>
      </w:r>
      <w:r w:rsidR="00C35F0A">
        <w:rPr>
          <w:rFonts w:ascii="Arial Narrow" w:hAnsi="Arial Narrow"/>
          <w:sz w:val="22"/>
          <w:szCs w:val="22"/>
        </w:rPr>
        <w:t>şikâyetlerin</w:t>
      </w:r>
      <w:r>
        <w:rPr>
          <w:rFonts w:ascii="Arial Narrow" w:hAnsi="Arial Narrow"/>
          <w:sz w:val="22"/>
          <w:szCs w:val="22"/>
        </w:rPr>
        <w:t xml:space="preserve"> </w:t>
      </w:r>
      <w:r w:rsidRPr="00250BA2">
        <w:rPr>
          <w:rFonts w:ascii="Arial Narrow" w:hAnsi="Arial Narrow"/>
          <w:sz w:val="22"/>
          <w:szCs w:val="22"/>
        </w:rPr>
        <w:t xml:space="preserve">ele alınması ve değerlendirilmesine ilişkin uygulamalar kapsamında gizlilik ve tarafsızlık esastır. Gizlilik amacıyla, yapılan itirazlarla alakalı hiçbir bilgi ve kayıt dışarı açıklanmaz ve gösterilmez. Söz konusu bilgi ve belgeler, gerektiğinde </w:t>
      </w:r>
      <w:r w:rsidR="00125950">
        <w:rPr>
          <w:rFonts w:ascii="Arial Narrow" w:hAnsi="Arial Narrow"/>
          <w:sz w:val="22"/>
          <w:szCs w:val="22"/>
        </w:rPr>
        <w:t>ilgili taraf (</w:t>
      </w:r>
      <w:proofErr w:type="gramStart"/>
      <w:r w:rsidR="00125950">
        <w:rPr>
          <w:rFonts w:ascii="Arial Narrow" w:hAnsi="Arial Narrow"/>
          <w:sz w:val="22"/>
          <w:szCs w:val="22"/>
        </w:rPr>
        <w:t>şikayete</w:t>
      </w:r>
      <w:proofErr w:type="gramEnd"/>
      <w:r w:rsidR="00125950">
        <w:rPr>
          <w:rFonts w:ascii="Arial Narrow" w:hAnsi="Arial Narrow"/>
          <w:sz w:val="22"/>
          <w:szCs w:val="22"/>
        </w:rPr>
        <w:t xml:space="preserve"> konu olan kişi/kuruluş önceden haberdar edilmek kaydıyla) </w:t>
      </w:r>
      <w:r w:rsidRPr="00250BA2">
        <w:rPr>
          <w:rFonts w:ascii="Arial Narrow" w:hAnsi="Arial Narrow"/>
          <w:sz w:val="22"/>
          <w:szCs w:val="22"/>
        </w:rPr>
        <w:t>T.C. Mahkemeleri’ ne ve Türk Akreditasyon Kurumu yetkililerine açılabilir.</w:t>
      </w:r>
    </w:p>
    <w:p w14:paraId="46300A42" w14:textId="77777777" w:rsidR="009C1ECB" w:rsidRPr="00250BA2" w:rsidRDefault="009C1ECB" w:rsidP="009C1ECB">
      <w:pPr>
        <w:pStyle w:val="ListeParagraf"/>
        <w:ind w:left="1418" w:hanging="709"/>
        <w:jc w:val="both"/>
        <w:rPr>
          <w:rFonts w:ascii="Arial Narrow" w:hAnsi="Arial Narrow"/>
          <w:sz w:val="22"/>
          <w:szCs w:val="22"/>
        </w:rPr>
      </w:pPr>
    </w:p>
    <w:p w14:paraId="3C065A0C" w14:textId="77777777" w:rsidR="00A74EA5" w:rsidRPr="007A26FC" w:rsidRDefault="00C55A06" w:rsidP="00F335B9">
      <w:pPr>
        <w:numPr>
          <w:ilvl w:val="2"/>
          <w:numId w:val="2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7A26FC">
        <w:rPr>
          <w:rFonts w:ascii="Arial Narrow" w:hAnsi="Arial Narrow"/>
          <w:sz w:val="22"/>
          <w:szCs w:val="22"/>
        </w:rPr>
        <w:t xml:space="preserve">İtiraz ve </w:t>
      </w:r>
      <w:r w:rsidR="006A13CA" w:rsidRPr="007A26FC">
        <w:rPr>
          <w:rFonts w:ascii="Arial Narrow" w:hAnsi="Arial Narrow"/>
          <w:sz w:val="22"/>
          <w:szCs w:val="22"/>
        </w:rPr>
        <w:t>Şikâyet</w:t>
      </w:r>
      <w:r w:rsidRPr="007A26FC">
        <w:rPr>
          <w:rFonts w:ascii="Arial Narrow" w:hAnsi="Arial Narrow"/>
          <w:sz w:val="22"/>
          <w:szCs w:val="22"/>
        </w:rPr>
        <w:t xml:space="preserve"> Değerlendirme Komitesi</w:t>
      </w:r>
      <w:r>
        <w:rPr>
          <w:rFonts w:ascii="Arial Narrow" w:hAnsi="Arial Narrow"/>
          <w:sz w:val="22"/>
          <w:szCs w:val="22"/>
        </w:rPr>
        <w:t xml:space="preserve"> tarafından alınan </w:t>
      </w:r>
      <w:r w:rsidR="00A74EA5">
        <w:rPr>
          <w:rFonts w:ascii="Arial Narrow" w:hAnsi="Arial Narrow"/>
          <w:sz w:val="22"/>
          <w:szCs w:val="22"/>
        </w:rPr>
        <w:t>kararlar</w:t>
      </w:r>
      <w:r>
        <w:rPr>
          <w:rFonts w:ascii="Arial Narrow" w:hAnsi="Arial Narrow"/>
          <w:sz w:val="22"/>
          <w:szCs w:val="22"/>
        </w:rPr>
        <w:t>,</w:t>
      </w:r>
      <w:r w:rsidR="00A74EA5">
        <w:rPr>
          <w:rFonts w:ascii="Arial Narrow" w:hAnsi="Arial Narrow"/>
          <w:sz w:val="22"/>
          <w:szCs w:val="22"/>
        </w:rPr>
        <w:t xml:space="preserve"> oy </w:t>
      </w:r>
      <w:r w:rsidR="001D4C06">
        <w:rPr>
          <w:rFonts w:ascii="Arial Narrow" w:hAnsi="Arial Narrow"/>
          <w:sz w:val="22"/>
          <w:szCs w:val="22"/>
        </w:rPr>
        <w:t>çokluğu</w:t>
      </w:r>
      <w:r>
        <w:rPr>
          <w:rFonts w:ascii="Arial Narrow" w:hAnsi="Arial Narrow"/>
          <w:sz w:val="22"/>
          <w:szCs w:val="22"/>
        </w:rPr>
        <w:t xml:space="preserve"> ile karara bağlanır.</w:t>
      </w:r>
    </w:p>
    <w:p w14:paraId="5AB9508E" w14:textId="77777777" w:rsidR="007A26FC" w:rsidRDefault="007A26FC" w:rsidP="007A26FC">
      <w:pPr>
        <w:ind w:left="1418" w:right="140"/>
        <w:jc w:val="both"/>
        <w:rPr>
          <w:rFonts w:ascii="Arial Narrow" w:hAnsi="Arial Narrow"/>
          <w:sz w:val="22"/>
          <w:szCs w:val="22"/>
        </w:rPr>
      </w:pPr>
    </w:p>
    <w:p w14:paraId="12543B65" w14:textId="77777777" w:rsidR="008D6D5B" w:rsidRPr="007A26FC" w:rsidRDefault="007A26FC" w:rsidP="00F335B9">
      <w:pPr>
        <w:numPr>
          <w:ilvl w:val="2"/>
          <w:numId w:val="2"/>
        </w:numPr>
        <w:ind w:left="1418" w:right="140" w:hanging="709"/>
        <w:jc w:val="both"/>
        <w:rPr>
          <w:rFonts w:ascii="Arial Narrow" w:hAnsi="Arial Narrow"/>
          <w:sz w:val="22"/>
          <w:szCs w:val="22"/>
        </w:rPr>
      </w:pPr>
      <w:r w:rsidRPr="007A26FC">
        <w:rPr>
          <w:rFonts w:ascii="Arial Narrow" w:hAnsi="Arial Narrow"/>
          <w:sz w:val="22"/>
          <w:szCs w:val="22"/>
        </w:rPr>
        <w:t xml:space="preserve">İtiraz ve </w:t>
      </w:r>
      <w:r w:rsidR="006A13CA" w:rsidRPr="007A26FC">
        <w:rPr>
          <w:rFonts w:ascii="Arial Narrow" w:hAnsi="Arial Narrow"/>
          <w:sz w:val="22"/>
          <w:szCs w:val="22"/>
        </w:rPr>
        <w:t>Şikâyet</w:t>
      </w:r>
      <w:r w:rsidRPr="007A26FC">
        <w:rPr>
          <w:rFonts w:ascii="Arial Narrow" w:hAnsi="Arial Narrow"/>
          <w:sz w:val="22"/>
          <w:szCs w:val="22"/>
        </w:rPr>
        <w:t xml:space="preserve"> Değerlendirme Komitesi üyeleri için görevlendirme kriterleri:</w:t>
      </w:r>
    </w:p>
    <w:p w14:paraId="44774312" w14:textId="77777777" w:rsidR="007A26FC" w:rsidRPr="007A26FC" w:rsidRDefault="007A26FC" w:rsidP="00F335B9">
      <w:pPr>
        <w:numPr>
          <w:ilvl w:val="0"/>
          <w:numId w:val="3"/>
        </w:numPr>
        <w:ind w:right="140"/>
        <w:jc w:val="both"/>
        <w:rPr>
          <w:rFonts w:ascii="Arial Narrow" w:hAnsi="Arial Narrow"/>
          <w:sz w:val="22"/>
          <w:szCs w:val="22"/>
        </w:rPr>
      </w:pPr>
      <w:r w:rsidRPr="007A26FC">
        <w:rPr>
          <w:rFonts w:ascii="Arial Narrow" w:hAnsi="Arial Narrow"/>
          <w:sz w:val="22"/>
          <w:szCs w:val="22"/>
        </w:rPr>
        <w:t>En az lise mezunu olması</w:t>
      </w:r>
    </w:p>
    <w:p w14:paraId="2E54D7EA" w14:textId="77777777" w:rsidR="007A26FC" w:rsidRDefault="007A26FC" w:rsidP="00F335B9">
      <w:pPr>
        <w:numPr>
          <w:ilvl w:val="0"/>
          <w:numId w:val="3"/>
        </w:numPr>
        <w:ind w:right="140"/>
        <w:jc w:val="both"/>
        <w:rPr>
          <w:rFonts w:ascii="Arial Narrow" w:hAnsi="Arial Narrow"/>
          <w:sz w:val="22"/>
          <w:szCs w:val="22"/>
        </w:rPr>
      </w:pPr>
      <w:r w:rsidRPr="007A26FC">
        <w:rPr>
          <w:rFonts w:ascii="Arial Narrow" w:hAnsi="Arial Narrow"/>
          <w:sz w:val="22"/>
          <w:szCs w:val="22"/>
        </w:rPr>
        <w:t>ISO 9001</w:t>
      </w:r>
      <w:r w:rsidR="0039274B">
        <w:rPr>
          <w:rFonts w:ascii="Arial Narrow" w:hAnsi="Arial Narrow"/>
          <w:sz w:val="22"/>
          <w:szCs w:val="22"/>
        </w:rPr>
        <w:t xml:space="preserve"> </w:t>
      </w:r>
      <w:r w:rsidRPr="007A26FC">
        <w:rPr>
          <w:rFonts w:ascii="Arial Narrow" w:hAnsi="Arial Narrow"/>
          <w:sz w:val="22"/>
          <w:szCs w:val="22"/>
        </w:rPr>
        <w:t xml:space="preserve">Kalite yönetim Sistemi konusunda eğitimli </w:t>
      </w:r>
      <w:r>
        <w:rPr>
          <w:rFonts w:ascii="Arial Narrow" w:hAnsi="Arial Narrow"/>
          <w:sz w:val="22"/>
          <w:szCs w:val="22"/>
        </w:rPr>
        <w:t>olması</w:t>
      </w:r>
    </w:p>
    <w:p w14:paraId="07EC05B3" w14:textId="77777777" w:rsidR="007A26FC" w:rsidRDefault="007A26FC" w:rsidP="00F335B9">
      <w:pPr>
        <w:numPr>
          <w:ilvl w:val="0"/>
          <w:numId w:val="3"/>
        </w:numPr>
        <w:ind w:right="1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Baş denetçi/denetçi olması</w:t>
      </w:r>
    </w:p>
    <w:p w14:paraId="04A367C4" w14:textId="77777777" w:rsidR="00A74EA5" w:rsidRDefault="00A74EA5" w:rsidP="00F335B9">
      <w:pPr>
        <w:numPr>
          <w:ilvl w:val="0"/>
          <w:numId w:val="3"/>
        </w:numPr>
        <w:ind w:right="1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İtiraz ya da </w:t>
      </w:r>
      <w:r w:rsidR="006A13CA">
        <w:rPr>
          <w:rFonts w:ascii="Arial Narrow" w:hAnsi="Arial Narrow"/>
          <w:sz w:val="22"/>
          <w:szCs w:val="22"/>
        </w:rPr>
        <w:t>şikâyete</w:t>
      </w:r>
      <w:r>
        <w:rPr>
          <w:rFonts w:ascii="Arial Narrow" w:hAnsi="Arial Narrow"/>
          <w:sz w:val="22"/>
          <w:szCs w:val="22"/>
        </w:rPr>
        <w:t xml:space="preserve"> konu olan durumdan bağımsız olması</w:t>
      </w:r>
    </w:p>
    <w:p w14:paraId="0BD0857A" w14:textId="77777777" w:rsidR="00125950" w:rsidRPr="007A26FC" w:rsidRDefault="00125950" w:rsidP="00125950">
      <w:pPr>
        <w:ind w:left="2138" w:right="140"/>
        <w:jc w:val="both"/>
        <w:rPr>
          <w:rFonts w:ascii="Arial Narrow" w:hAnsi="Arial Narrow"/>
          <w:sz w:val="22"/>
          <w:szCs w:val="22"/>
        </w:rPr>
      </w:pPr>
    </w:p>
    <w:p w14:paraId="599D406F" w14:textId="77777777" w:rsidR="007A26FC" w:rsidRDefault="007A26FC" w:rsidP="00F335B9">
      <w:pPr>
        <w:numPr>
          <w:ilvl w:val="2"/>
          <w:numId w:val="2"/>
        </w:numPr>
        <w:ind w:right="152" w:hanging="14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İtiraz ve </w:t>
      </w:r>
      <w:r w:rsidR="006A13CA">
        <w:rPr>
          <w:rFonts w:ascii="Arial Narrow" w:hAnsi="Arial Narrow"/>
          <w:sz w:val="22"/>
          <w:szCs w:val="22"/>
        </w:rPr>
        <w:t>Şikâyet</w:t>
      </w:r>
      <w:r>
        <w:rPr>
          <w:rFonts w:ascii="Arial Narrow" w:hAnsi="Arial Narrow"/>
          <w:sz w:val="22"/>
          <w:szCs w:val="22"/>
        </w:rPr>
        <w:t xml:space="preserve"> Değerlendirme Komitesi, görev, yetki sorumlulukları:</w:t>
      </w:r>
    </w:p>
    <w:p w14:paraId="00BDB520" w14:textId="4130B78A" w:rsidR="007A26FC" w:rsidRDefault="007A26FC" w:rsidP="00F335B9">
      <w:pPr>
        <w:numPr>
          <w:ilvl w:val="0"/>
          <w:numId w:val="4"/>
        </w:numPr>
        <w:ind w:left="2127" w:right="152" w:hanging="284"/>
        <w:jc w:val="both"/>
        <w:rPr>
          <w:rFonts w:ascii="Arial Narrow" w:hAnsi="Arial Narrow"/>
          <w:sz w:val="22"/>
          <w:szCs w:val="22"/>
        </w:rPr>
      </w:pPr>
      <w:proofErr w:type="gramStart"/>
      <w:r w:rsidRPr="007A26FC">
        <w:rPr>
          <w:rFonts w:ascii="Arial Narrow" w:hAnsi="Arial Narrow"/>
          <w:sz w:val="22"/>
          <w:szCs w:val="22"/>
        </w:rPr>
        <w:t xml:space="preserve">EUROGAP </w:t>
      </w:r>
      <w:r w:rsidR="000225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’</w:t>
      </w:r>
      <w:proofErr w:type="gramEnd"/>
      <w:r>
        <w:rPr>
          <w:rFonts w:ascii="Arial Narrow" w:hAnsi="Arial Narrow"/>
          <w:sz w:val="22"/>
          <w:szCs w:val="22"/>
        </w:rPr>
        <w:t xml:space="preserve"> ne müşteri ve ilgili taraflardan gelen</w:t>
      </w:r>
      <w:r w:rsidRPr="007A26FC">
        <w:rPr>
          <w:rFonts w:ascii="Arial Narrow" w:hAnsi="Arial Narrow"/>
          <w:sz w:val="22"/>
          <w:szCs w:val="22"/>
        </w:rPr>
        <w:t xml:space="preserve"> itirazların </w:t>
      </w:r>
      <w:r>
        <w:rPr>
          <w:rFonts w:ascii="Arial Narrow" w:hAnsi="Arial Narrow"/>
          <w:sz w:val="22"/>
          <w:szCs w:val="22"/>
        </w:rPr>
        <w:t xml:space="preserve">ve </w:t>
      </w:r>
      <w:r w:rsidR="006A13CA">
        <w:rPr>
          <w:rFonts w:ascii="Arial Narrow" w:hAnsi="Arial Narrow"/>
          <w:sz w:val="22"/>
          <w:szCs w:val="22"/>
        </w:rPr>
        <w:t>şikâyetlerin</w:t>
      </w:r>
      <w:r w:rsidR="009C1ECB">
        <w:rPr>
          <w:rFonts w:ascii="Arial Narrow" w:hAnsi="Arial Narrow"/>
          <w:sz w:val="22"/>
          <w:szCs w:val="22"/>
        </w:rPr>
        <w:t xml:space="preserve"> 15 içerisinde </w:t>
      </w:r>
      <w:r w:rsidR="00C35F0A">
        <w:rPr>
          <w:rFonts w:ascii="Arial Narrow" w:hAnsi="Arial Narrow"/>
          <w:sz w:val="22"/>
          <w:szCs w:val="22"/>
        </w:rPr>
        <w:t xml:space="preserve">toplanarak </w:t>
      </w:r>
      <w:r>
        <w:rPr>
          <w:rFonts w:ascii="Arial Narrow" w:hAnsi="Arial Narrow"/>
          <w:sz w:val="22"/>
          <w:szCs w:val="22"/>
        </w:rPr>
        <w:t xml:space="preserve">objektif olarak </w:t>
      </w:r>
      <w:r w:rsidRPr="007A26FC">
        <w:rPr>
          <w:rFonts w:ascii="Arial Narrow" w:hAnsi="Arial Narrow"/>
          <w:sz w:val="22"/>
          <w:szCs w:val="22"/>
        </w:rPr>
        <w:t>ele alınması ve değerlendirilmesi</w:t>
      </w:r>
      <w:r w:rsidR="006A13CA">
        <w:rPr>
          <w:rFonts w:ascii="Arial Narrow" w:hAnsi="Arial Narrow"/>
          <w:sz w:val="22"/>
          <w:szCs w:val="22"/>
        </w:rPr>
        <w:t>ni sağlamak,</w:t>
      </w:r>
    </w:p>
    <w:p w14:paraId="08DA3517" w14:textId="77777777" w:rsidR="009C1ECB" w:rsidRDefault="00125950" w:rsidP="00F335B9">
      <w:pPr>
        <w:numPr>
          <w:ilvl w:val="0"/>
          <w:numId w:val="4"/>
        </w:numPr>
        <w:ind w:left="2127" w:right="152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15</w:t>
      </w:r>
      <w:r w:rsidR="009C1ECB" w:rsidRPr="007720CB">
        <w:rPr>
          <w:rFonts w:ascii="Arial Narrow" w:hAnsi="Arial Narrow"/>
          <w:sz w:val="22"/>
          <w:szCs w:val="22"/>
        </w:rPr>
        <w:t xml:space="preserve"> gün içerisinde itirazla ilgili değerlendirmenin yapılarak sonucun </w:t>
      </w:r>
      <w:r w:rsidR="00C35F0A">
        <w:rPr>
          <w:rFonts w:ascii="Arial Narrow" w:hAnsi="Arial Narrow"/>
          <w:sz w:val="22"/>
          <w:szCs w:val="22"/>
        </w:rPr>
        <w:t xml:space="preserve">Belgelendirme Yöneticisi’ ne </w:t>
      </w:r>
      <w:r w:rsidR="009C1ECB">
        <w:rPr>
          <w:rFonts w:ascii="Arial Narrow" w:hAnsi="Arial Narrow"/>
          <w:sz w:val="22"/>
          <w:szCs w:val="22"/>
        </w:rPr>
        <w:t>bildirilmesini sağlamak</w:t>
      </w:r>
      <w:r>
        <w:rPr>
          <w:rFonts w:ascii="Arial Narrow" w:hAnsi="Arial Narrow"/>
          <w:sz w:val="22"/>
          <w:szCs w:val="22"/>
        </w:rPr>
        <w:t xml:space="preserve"> (bu süre itiraz veya şikâyetin kapsamına ve değerlendirme süresine bağlı olarak ilgili taraflar haberdar edilmek kaydıyla en fazla 15 gün daha uzatılabilir)</w:t>
      </w:r>
      <w:r w:rsidR="009C1ECB">
        <w:rPr>
          <w:rFonts w:ascii="Arial Narrow" w:hAnsi="Arial Narrow"/>
          <w:sz w:val="22"/>
          <w:szCs w:val="22"/>
        </w:rPr>
        <w:t>,</w:t>
      </w:r>
    </w:p>
    <w:p w14:paraId="36336A21" w14:textId="77777777" w:rsidR="006A13CA" w:rsidRDefault="006A13CA" w:rsidP="00F335B9">
      <w:pPr>
        <w:numPr>
          <w:ilvl w:val="0"/>
          <w:numId w:val="4"/>
        </w:numPr>
        <w:ind w:left="2127" w:right="152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İtiraz ya da şikâyete ilişkin tüm bilgi ve belgeleri temin ederek, ayrıntılı ve tarafsız olarak incelemek ve değerlendirmek,</w:t>
      </w:r>
    </w:p>
    <w:p w14:paraId="6D7B50DC" w14:textId="77777777" w:rsidR="006A13CA" w:rsidRDefault="006A13CA" w:rsidP="00F335B9">
      <w:pPr>
        <w:numPr>
          <w:ilvl w:val="0"/>
          <w:numId w:val="4"/>
        </w:numPr>
        <w:ind w:left="2127" w:right="152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Gerektiğinde, itiraz / şikâyet sahibi ile görüşmeler yapmak ve itiraz ve şikâyeti değerlendirilmesine ilişkin delilleri toplamak,</w:t>
      </w:r>
      <w:r w:rsidR="00C35F0A">
        <w:rPr>
          <w:rFonts w:ascii="Arial Narrow" w:hAnsi="Arial Narrow"/>
          <w:sz w:val="22"/>
          <w:szCs w:val="22"/>
        </w:rPr>
        <w:t xml:space="preserve"> gerektiğinde ziyarette bulunmak</w:t>
      </w:r>
    </w:p>
    <w:p w14:paraId="2ED9FA6A" w14:textId="77777777" w:rsidR="006A13CA" w:rsidRDefault="006A13CA" w:rsidP="00F335B9">
      <w:pPr>
        <w:numPr>
          <w:ilvl w:val="0"/>
          <w:numId w:val="4"/>
        </w:numPr>
        <w:ind w:left="2127" w:right="152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İtiraz / şikâyete ilişkin son kararı vermek</w:t>
      </w:r>
      <w:r w:rsidR="00125950">
        <w:rPr>
          <w:rFonts w:ascii="Arial Narrow" w:hAnsi="Arial Narrow"/>
          <w:sz w:val="22"/>
          <w:szCs w:val="22"/>
        </w:rPr>
        <w:t xml:space="preserve"> ve </w:t>
      </w:r>
      <w:r w:rsidR="00125950" w:rsidRPr="00125950">
        <w:rPr>
          <w:rFonts w:ascii="Arial Narrow" w:hAnsi="Arial Narrow"/>
          <w:b/>
          <w:sz w:val="22"/>
          <w:szCs w:val="22"/>
        </w:rPr>
        <w:t>FR.034 İtiraz ve Şikâyet Değerlendirme Formu’</w:t>
      </w:r>
      <w:r w:rsidR="00125950" w:rsidRPr="00125950">
        <w:rPr>
          <w:rFonts w:ascii="Arial Narrow" w:hAnsi="Arial Narrow"/>
          <w:sz w:val="22"/>
          <w:szCs w:val="22"/>
        </w:rPr>
        <w:t xml:space="preserve"> nu imzalamak</w:t>
      </w:r>
    </w:p>
    <w:p w14:paraId="7B687CF6" w14:textId="77777777" w:rsidR="006A13CA" w:rsidRDefault="006A13CA" w:rsidP="00F335B9">
      <w:pPr>
        <w:numPr>
          <w:ilvl w:val="0"/>
          <w:numId w:val="4"/>
        </w:numPr>
        <w:ind w:left="2127" w:right="152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İtiraz ve şikâyetlere ilişkin belirlenen düzeltici faaliyetlerin yeterliliğinin doğrulanmasını ve faaliyetin etkinliğini takip etmek,</w:t>
      </w:r>
    </w:p>
    <w:p w14:paraId="728EDC01" w14:textId="6F93098A" w:rsidR="009C1ECB" w:rsidRDefault="009C1ECB" w:rsidP="00F335B9">
      <w:pPr>
        <w:numPr>
          <w:ilvl w:val="0"/>
          <w:numId w:val="4"/>
        </w:numPr>
        <w:ind w:left="2127" w:right="152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İtiraz ve </w:t>
      </w:r>
      <w:r w:rsidR="00C35F0A">
        <w:rPr>
          <w:rFonts w:ascii="Arial Narrow" w:hAnsi="Arial Narrow"/>
          <w:sz w:val="22"/>
          <w:szCs w:val="22"/>
        </w:rPr>
        <w:t>şikâyetin</w:t>
      </w:r>
      <w:r>
        <w:rPr>
          <w:rFonts w:ascii="Arial Narrow" w:hAnsi="Arial Narrow"/>
          <w:sz w:val="22"/>
          <w:szCs w:val="22"/>
        </w:rPr>
        <w:t xml:space="preserve"> ele alınması ve değerlendirilmesi neticesinde, </w:t>
      </w:r>
      <w:proofErr w:type="gramStart"/>
      <w:r w:rsidRPr="007A26FC">
        <w:rPr>
          <w:rFonts w:ascii="Arial Narrow" w:hAnsi="Arial Narrow"/>
          <w:sz w:val="22"/>
          <w:szCs w:val="22"/>
        </w:rPr>
        <w:t xml:space="preserve">EUROGAP </w:t>
      </w:r>
      <w:r w:rsidR="000225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’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nin</w:t>
      </w:r>
      <w:proofErr w:type="spellEnd"/>
      <w:r>
        <w:rPr>
          <w:rFonts w:ascii="Arial Narrow" w:hAnsi="Arial Narrow"/>
          <w:sz w:val="22"/>
          <w:szCs w:val="22"/>
        </w:rPr>
        <w:t xml:space="preserve"> yükümlülüklerini takip etmek, yükümlülüklerin yerine getirilmemesi durumunda </w:t>
      </w:r>
      <w:r w:rsidRPr="007A26FC">
        <w:rPr>
          <w:rFonts w:ascii="Arial Narrow" w:hAnsi="Arial Narrow"/>
          <w:sz w:val="22"/>
          <w:szCs w:val="22"/>
        </w:rPr>
        <w:t xml:space="preserve">EUROGAP </w:t>
      </w:r>
      <w:r w:rsidR="000225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’ ne yaptırım uygulamak, gerektiğinde ilgili mercilerin haberdar edilmesini sağlamak (Türk Akreditasyon Kurumu)</w:t>
      </w:r>
    </w:p>
    <w:p w14:paraId="6D9B0F44" w14:textId="77777777" w:rsidR="009C1ECB" w:rsidRDefault="009C1ECB" w:rsidP="007A26FC">
      <w:pPr>
        <w:ind w:left="2136" w:right="152"/>
        <w:rPr>
          <w:rFonts w:ascii="Arial Narrow" w:hAnsi="Arial Narrow"/>
          <w:sz w:val="22"/>
          <w:szCs w:val="22"/>
        </w:rPr>
      </w:pPr>
    </w:p>
    <w:p w14:paraId="70A59C1C" w14:textId="77777777" w:rsidR="006A13CA" w:rsidRDefault="009C1ECB" w:rsidP="00F335B9">
      <w:pPr>
        <w:numPr>
          <w:ilvl w:val="0"/>
          <w:numId w:val="2"/>
        </w:numPr>
        <w:ind w:right="152" w:firstLine="349"/>
        <w:rPr>
          <w:rFonts w:ascii="Arial Narrow" w:hAnsi="Arial Narrow"/>
          <w:b/>
          <w:sz w:val="22"/>
          <w:szCs w:val="22"/>
        </w:rPr>
      </w:pPr>
      <w:r w:rsidRPr="005E3AEC">
        <w:rPr>
          <w:rFonts w:ascii="Arial Narrow" w:hAnsi="Arial Narrow"/>
          <w:b/>
          <w:sz w:val="22"/>
          <w:szCs w:val="22"/>
        </w:rPr>
        <w:t>KAYITLAR</w:t>
      </w:r>
    </w:p>
    <w:p w14:paraId="1C62DA7B" w14:textId="77777777" w:rsidR="00C55A06" w:rsidRDefault="00C35F0A" w:rsidP="009C1ECB">
      <w:pPr>
        <w:ind w:left="709" w:right="15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FR.055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9C1ECB" w:rsidRPr="009C1ECB">
        <w:rPr>
          <w:rFonts w:ascii="Arial Narrow" w:hAnsi="Arial Narrow"/>
          <w:sz w:val="22"/>
          <w:szCs w:val="22"/>
        </w:rPr>
        <w:t xml:space="preserve">Toplantı </w:t>
      </w:r>
      <w:r>
        <w:rPr>
          <w:rFonts w:ascii="Arial Narrow" w:hAnsi="Arial Narrow"/>
          <w:sz w:val="22"/>
          <w:szCs w:val="22"/>
        </w:rPr>
        <w:t>Tutanağı</w:t>
      </w:r>
    </w:p>
    <w:p w14:paraId="17646159" w14:textId="77777777" w:rsidR="00C35F0A" w:rsidRPr="009C1ECB" w:rsidRDefault="00C35F0A" w:rsidP="009C1ECB">
      <w:pPr>
        <w:ind w:left="709" w:right="15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FR.034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İtiraz ve Şikâyet Değerlendirme Formu</w:t>
      </w:r>
    </w:p>
    <w:p w14:paraId="00F763CF" w14:textId="77777777" w:rsidR="009C1ECB" w:rsidRDefault="009C1ECB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2DBCB2D3" w14:textId="77777777" w:rsidR="008D5CED" w:rsidRPr="00B41DA1" w:rsidRDefault="00DE6C6C" w:rsidP="00CB4B54">
      <w:pPr>
        <w:spacing w:line="360" w:lineRule="auto"/>
        <w:ind w:left="709" w:right="15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6.0 </w:t>
      </w:r>
      <w:r w:rsidR="008D5CED">
        <w:rPr>
          <w:rFonts w:ascii="Arial Narrow" w:hAnsi="Arial Narrow"/>
          <w:b/>
          <w:sz w:val="22"/>
          <w:szCs w:val="22"/>
        </w:rPr>
        <w:t>RE</w:t>
      </w:r>
      <w:r w:rsidR="008D5CED" w:rsidRPr="00B41DA1">
        <w:rPr>
          <w:rFonts w:ascii="Arial Narrow" w:hAnsi="Arial Narrow"/>
          <w:b/>
          <w:sz w:val="22"/>
          <w:szCs w:val="22"/>
        </w:rPr>
        <w:t>VİZYON SAYFASI</w:t>
      </w:r>
    </w:p>
    <w:p w14:paraId="3B250C17" w14:textId="77777777" w:rsidR="008D5CED" w:rsidRPr="00B41DA1" w:rsidRDefault="008D5CED" w:rsidP="008D5CED">
      <w:pPr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783" w:tblpYSpec="cent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310"/>
        <w:gridCol w:w="5670"/>
      </w:tblGrid>
      <w:tr w:rsidR="008D5CED" w:rsidRPr="00B41DA1" w14:paraId="5C7924D7" w14:textId="77777777" w:rsidTr="00F82D12">
        <w:trPr>
          <w:trHeight w:val="557"/>
        </w:trPr>
        <w:tc>
          <w:tcPr>
            <w:tcW w:w="1809" w:type="dxa"/>
            <w:vAlign w:val="center"/>
          </w:tcPr>
          <w:p w14:paraId="174D9F9E" w14:textId="77777777" w:rsidR="008D5CED" w:rsidRPr="00B41DA1" w:rsidRDefault="008D5CED" w:rsidP="00F82D1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 xml:space="preserve">REVİZYON </w:t>
            </w:r>
          </w:p>
          <w:p w14:paraId="17F136AF" w14:textId="77777777" w:rsidR="008D5CED" w:rsidRPr="00B41DA1" w:rsidRDefault="008D5CED" w:rsidP="00F82D1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TARİHİ</w:t>
            </w:r>
          </w:p>
        </w:tc>
        <w:tc>
          <w:tcPr>
            <w:tcW w:w="1134" w:type="dxa"/>
            <w:vAlign w:val="center"/>
          </w:tcPr>
          <w:p w14:paraId="1BCB9997" w14:textId="77777777" w:rsidR="008D5CED" w:rsidRPr="00B41DA1" w:rsidRDefault="008D5CED" w:rsidP="00F82D1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REV.</w:t>
            </w:r>
          </w:p>
          <w:p w14:paraId="6CCFEA4E" w14:textId="77777777" w:rsidR="008D5CED" w:rsidRPr="00B41DA1" w:rsidRDefault="008D5CED" w:rsidP="00F82D1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1310" w:type="dxa"/>
            <w:vAlign w:val="center"/>
          </w:tcPr>
          <w:p w14:paraId="7F5C91DE" w14:textId="77777777" w:rsidR="008D5CED" w:rsidRPr="00B41DA1" w:rsidRDefault="008D5CED" w:rsidP="00F82D1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MADDE NO</w:t>
            </w:r>
          </w:p>
        </w:tc>
        <w:tc>
          <w:tcPr>
            <w:tcW w:w="5670" w:type="dxa"/>
            <w:vAlign w:val="center"/>
          </w:tcPr>
          <w:p w14:paraId="1D54E245" w14:textId="77777777" w:rsidR="008D5CED" w:rsidRPr="00B41DA1" w:rsidRDefault="008D5CED" w:rsidP="00F82D12">
            <w:pPr>
              <w:ind w:left="3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41DA1">
              <w:rPr>
                <w:rFonts w:ascii="Arial Narrow" w:hAnsi="Arial Narrow"/>
                <w:b/>
                <w:sz w:val="22"/>
                <w:szCs w:val="22"/>
              </w:rPr>
              <w:t>YAPILAN REVİZYONUN AÇIKLANMASI</w:t>
            </w:r>
          </w:p>
        </w:tc>
      </w:tr>
      <w:tr w:rsidR="002D5D3A" w:rsidRPr="00D2116F" w14:paraId="336BE964" w14:textId="77777777" w:rsidTr="00D45111">
        <w:trPr>
          <w:trHeight w:val="621"/>
        </w:trPr>
        <w:tc>
          <w:tcPr>
            <w:tcW w:w="1809" w:type="dxa"/>
            <w:vAlign w:val="center"/>
          </w:tcPr>
          <w:p w14:paraId="2E8739A7" w14:textId="77777777" w:rsidR="002D5D3A" w:rsidRPr="00315B37" w:rsidRDefault="002D5D3A" w:rsidP="00BB39C2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BB8493" w14:textId="77777777" w:rsidR="002D5D3A" w:rsidRPr="00315B37" w:rsidRDefault="002D5D3A" w:rsidP="002D5D3A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78D9CB1F" w14:textId="77777777" w:rsidR="002D5D3A" w:rsidRPr="00315B37" w:rsidRDefault="002D5D3A" w:rsidP="002D5D3A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6526EA7" w14:textId="77777777" w:rsidR="002D5D3A" w:rsidRDefault="002D5D3A" w:rsidP="002D5D3A">
            <w:pPr>
              <w:tabs>
                <w:tab w:val="left" w:pos="1155"/>
              </w:tabs>
              <w:ind w:right="14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7343C1" w:rsidRPr="00D2116F" w14:paraId="3CBEDFC8" w14:textId="77777777" w:rsidTr="00BB39C2">
        <w:trPr>
          <w:trHeight w:val="495"/>
        </w:trPr>
        <w:tc>
          <w:tcPr>
            <w:tcW w:w="1809" w:type="dxa"/>
            <w:vAlign w:val="center"/>
          </w:tcPr>
          <w:p w14:paraId="4DE56A4F" w14:textId="77777777" w:rsidR="007343C1" w:rsidRPr="007343C1" w:rsidRDefault="007343C1" w:rsidP="007343C1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2C2F63" w14:textId="77777777" w:rsidR="007343C1" w:rsidRPr="007343C1" w:rsidRDefault="007343C1" w:rsidP="007343C1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B22EF3D" w14:textId="77777777" w:rsidR="007343C1" w:rsidRPr="00315B37" w:rsidRDefault="007343C1" w:rsidP="007343C1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640BDD1" w14:textId="77777777" w:rsidR="007343C1" w:rsidRDefault="007343C1" w:rsidP="007343C1">
            <w:pPr>
              <w:tabs>
                <w:tab w:val="left" w:pos="1155"/>
              </w:tabs>
              <w:ind w:right="140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  <w:tr w:rsidR="00646097" w:rsidRPr="00D2116F" w14:paraId="33EF15EB" w14:textId="77777777" w:rsidTr="00BB39C2">
        <w:trPr>
          <w:trHeight w:val="546"/>
        </w:trPr>
        <w:tc>
          <w:tcPr>
            <w:tcW w:w="1809" w:type="dxa"/>
            <w:vAlign w:val="center"/>
          </w:tcPr>
          <w:p w14:paraId="019BC1DE" w14:textId="77777777" w:rsidR="00646097" w:rsidRPr="00646097" w:rsidRDefault="00646097" w:rsidP="0064609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691CB1" w14:textId="77777777" w:rsidR="00646097" w:rsidRPr="00646097" w:rsidRDefault="00646097" w:rsidP="0064609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E7E913D" w14:textId="77777777" w:rsidR="00646097" w:rsidRPr="00646097" w:rsidRDefault="00646097" w:rsidP="0064609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896956C" w14:textId="77777777" w:rsidR="00646097" w:rsidRPr="00646097" w:rsidRDefault="00646097" w:rsidP="00646097">
            <w:pPr>
              <w:tabs>
                <w:tab w:val="left" w:pos="1155"/>
              </w:tabs>
              <w:ind w:right="140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2D5D3A" w:rsidRPr="00D2116F" w14:paraId="3B6EAA8D" w14:textId="77777777" w:rsidTr="00F82D12">
        <w:tc>
          <w:tcPr>
            <w:tcW w:w="1809" w:type="dxa"/>
          </w:tcPr>
          <w:p w14:paraId="7628AF5C" w14:textId="77777777" w:rsidR="002D5D3A" w:rsidRPr="00D2116F" w:rsidRDefault="002D5D3A" w:rsidP="002D5D3A">
            <w:pPr>
              <w:jc w:val="center"/>
              <w:rPr>
                <w:sz w:val="22"/>
                <w:szCs w:val="22"/>
              </w:rPr>
            </w:pPr>
          </w:p>
          <w:p w14:paraId="11DC5835" w14:textId="77777777" w:rsidR="002D5D3A" w:rsidRPr="00D2116F" w:rsidRDefault="002D5D3A" w:rsidP="00BB39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309F6D" w14:textId="77777777" w:rsidR="002D5D3A" w:rsidRPr="00D2116F" w:rsidRDefault="002D5D3A" w:rsidP="002D5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5D60FEF3" w14:textId="77777777" w:rsidR="002D5D3A" w:rsidRPr="00D2116F" w:rsidRDefault="002D5D3A" w:rsidP="002D5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6D218EC2" w14:textId="77777777" w:rsidR="002D5D3A" w:rsidRPr="00D2116F" w:rsidRDefault="002D5D3A" w:rsidP="002D5D3A">
            <w:pPr>
              <w:jc w:val="center"/>
              <w:rPr>
                <w:sz w:val="22"/>
                <w:szCs w:val="22"/>
              </w:rPr>
            </w:pPr>
          </w:p>
        </w:tc>
      </w:tr>
      <w:tr w:rsidR="002D5D3A" w:rsidRPr="00D2116F" w14:paraId="321BA51A" w14:textId="77777777" w:rsidTr="00BB39C2">
        <w:trPr>
          <w:trHeight w:val="507"/>
        </w:trPr>
        <w:tc>
          <w:tcPr>
            <w:tcW w:w="1809" w:type="dxa"/>
          </w:tcPr>
          <w:p w14:paraId="1F91C9A7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  <w:p w14:paraId="36F1CAC2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FC4C11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0DFF0EFB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CEE6EC1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</w:tc>
      </w:tr>
      <w:tr w:rsidR="002D5D3A" w:rsidRPr="00D2116F" w14:paraId="0B49B3F8" w14:textId="77777777" w:rsidTr="00F82D12">
        <w:tc>
          <w:tcPr>
            <w:tcW w:w="1809" w:type="dxa"/>
          </w:tcPr>
          <w:p w14:paraId="699998C1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  <w:p w14:paraId="44861ACD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7BEF985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14:paraId="2477555C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11126F6F" w14:textId="77777777" w:rsidR="002D5D3A" w:rsidRPr="00D2116F" w:rsidRDefault="002D5D3A" w:rsidP="002D5D3A">
            <w:pPr>
              <w:rPr>
                <w:sz w:val="22"/>
                <w:szCs w:val="22"/>
              </w:rPr>
            </w:pPr>
          </w:p>
        </w:tc>
      </w:tr>
    </w:tbl>
    <w:p w14:paraId="2589DEE0" w14:textId="77777777" w:rsidR="008D5CED" w:rsidRPr="00D2116F" w:rsidRDefault="008D5CED" w:rsidP="008D5CED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p w14:paraId="3538108A" w14:textId="77777777" w:rsidR="008D5CED" w:rsidRPr="00D2116F" w:rsidRDefault="008D5CED" w:rsidP="008D5CED">
      <w:pPr>
        <w:rPr>
          <w:sz w:val="22"/>
          <w:szCs w:val="22"/>
        </w:rPr>
      </w:pPr>
    </w:p>
    <w:p w14:paraId="42DF5DD1" w14:textId="77777777" w:rsidR="008D5CED" w:rsidRPr="00D2116F" w:rsidRDefault="008D5CED" w:rsidP="008D5CED">
      <w:pPr>
        <w:spacing w:line="360" w:lineRule="auto"/>
        <w:ind w:left="709" w:right="152"/>
        <w:jc w:val="center"/>
        <w:rPr>
          <w:b/>
          <w:sz w:val="22"/>
          <w:szCs w:val="22"/>
        </w:rPr>
      </w:pPr>
    </w:p>
    <w:p w14:paraId="0E1EF30B" w14:textId="77777777" w:rsidR="008D5CED" w:rsidRPr="00D2116F" w:rsidRDefault="008D5CED" w:rsidP="008D5CED">
      <w:pPr>
        <w:ind w:left="360"/>
        <w:jc w:val="both"/>
        <w:rPr>
          <w:b/>
          <w:sz w:val="22"/>
          <w:szCs w:val="22"/>
        </w:rPr>
      </w:pPr>
    </w:p>
    <w:p w14:paraId="545EB7D9" w14:textId="77777777" w:rsidR="008D5CED" w:rsidRPr="00B72025" w:rsidRDefault="008D5CED" w:rsidP="008D5CED"/>
    <w:p w14:paraId="50BFEB47" w14:textId="77777777" w:rsidR="008D5CED" w:rsidRDefault="008D5CED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6DB1EEC3" w14:textId="77777777" w:rsidR="008D5CED" w:rsidRDefault="008D5CED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5E21A53A" w14:textId="77777777" w:rsidR="008D5CED" w:rsidRDefault="008D5CED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4BCC7B9C" w14:textId="77777777" w:rsidR="008D5CED" w:rsidRDefault="008D5CED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7EAEEBD5" w14:textId="77777777" w:rsidR="008D5CED" w:rsidRDefault="008D5CED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179A3441" w14:textId="77777777" w:rsidR="008D5CED" w:rsidRDefault="008D5CED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14:paraId="11D36E6B" w14:textId="77777777" w:rsidR="008D5CED" w:rsidRDefault="008D5CED" w:rsidP="00B72025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sectPr w:rsidR="008D5CED" w:rsidSect="00F240A0">
      <w:headerReference w:type="default" r:id="rId8"/>
      <w:footerReference w:type="default" r:id="rId9"/>
      <w:pgSz w:w="11906" w:h="16838" w:code="9"/>
      <w:pgMar w:top="851" w:right="707" w:bottom="284" w:left="567" w:header="47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B5F91" w14:textId="77777777" w:rsidR="00EE0AF6" w:rsidRDefault="00EE0AF6">
      <w:r>
        <w:separator/>
      </w:r>
    </w:p>
  </w:endnote>
  <w:endnote w:type="continuationSeparator" w:id="0">
    <w:p w14:paraId="635B68AB" w14:textId="77777777" w:rsidR="00EE0AF6" w:rsidRDefault="00EE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97"/>
      <w:gridCol w:w="4898"/>
    </w:tblGrid>
    <w:tr w:rsidR="00CF0D89" w:rsidRPr="00CF0D89" w14:paraId="5778BC49" w14:textId="77777777" w:rsidTr="00E84684">
      <w:trPr>
        <w:trHeight w:val="1250"/>
      </w:trPr>
      <w:tc>
        <w:tcPr>
          <w:tcW w:w="4955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3C43D7B1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>HAZIRLAYAN</w:t>
          </w:r>
        </w:p>
        <w:p w14:paraId="11B67274" w14:textId="77777777" w:rsidR="00CF0D89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Yönetim Temsilcisi</w:t>
          </w:r>
        </w:p>
      </w:tc>
      <w:tc>
        <w:tcPr>
          <w:tcW w:w="495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1F5174C1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 xml:space="preserve">ONAYLAYAN </w:t>
          </w:r>
        </w:p>
        <w:p w14:paraId="12F8D4D3" w14:textId="77777777" w:rsidR="00BD6D17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Genel Koordinatör</w:t>
          </w:r>
        </w:p>
        <w:p w14:paraId="6F096BC8" w14:textId="77777777"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14:paraId="4DDC1443" w14:textId="77777777" w:rsidR="009D5D14" w:rsidRPr="00C832EF" w:rsidRDefault="00DD1A6C" w:rsidP="00CF0D89">
    <w:pPr>
      <w:pStyle w:val="Altbilgi"/>
      <w:spacing w:before="120"/>
      <w:ind w:left="709"/>
      <w:rPr>
        <w:rFonts w:ascii="Arial Narrow" w:hAnsi="Arial Narrow"/>
        <w:sz w:val="20"/>
        <w:szCs w:val="20"/>
      </w:rPr>
    </w:pPr>
    <w:r w:rsidRPr="00C832EF">
      <w:rPr>
        <w:rFonts w:ascii="Arial Narrow" w:hAnsi="Arial Narrow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FB950" w14:textId="77777777" w:rsidR="00EE0AF6" w:rsidRDefault="00EE0AF6">
      <w:r>
        <w:separator/>
      </w:r>
    </w:p>
  </w:footnote>
  <w:footnote w:type="continuationSeparator" w:id="0">
    <w:p w14:paraId="5A7EC1A8" w14:textId="77777777" w:rsidR="00EE0AF6" w:rsidRDefault="00EE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992"/>
      <w:gridCol w:w="709"/>
      <w:gridCol w:w="1559"/>
      <w:gridCol w:w="1559"/>
      <w:gridCol w:w="1134"/>
      <w:gridCol w:w="1418"/>
    </w:tblGrid>
    <w:tr w:rsidR="00AF4098" w:rsidRPr="001135BB" w14:paraId="565BC967" w14:textId="77777777" w:rsidTr="00F168CA">
      <w:trPr>
        <w:trHeight w:val="403"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85A41C0" w14:textId="1A9874DC" w:rsidR="00AF4098" w:rsidRDefault="00445354" w:rsidP="001135BB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E6CC5B9" wp14:editId="565BCB70">
                    <wp:simplePos x="0" y="0"/>
                    <wp:positionH relativeFrom="column">
                      <wp:posOffset>63500</wp:posOffset>
                    </wp:positionH>
                    <wp:positionV relativeFrom="paragraph">
                      <wp:posOffset>58420</wp:posOffset>
                    </wp:positionV>
                    <wp:extent cx="1352550" cy="790575"/>
                    <wp:effectExtent l="0" t="1270" r="3175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52550" cy="790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EA057A" w14:textId="6BDED0EB" w:rsidR="00B72025" w:rsidRDefault="00445354" w:rsidP="00B72025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C5824A" wp14:editId="70724C1C">
                                      <wp:extent cx="1171575" cy="771525"/>
                                      <wp:effectExtent l="0" t="0" r="0" b="0"/>
                                      <wp:docPr id="2" name="Resi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1575" cy="771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6CC5B9" id="Rectangle 10" o:spid="_x0000_s1026" style="position:absolute;left:0;text-align:left;margin-left:5pt;margin-top:4.6pt;width:106.5pt;height:6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" stroked="f">
                    <v:textbox>
                      <w:txbxContent>
                        <w:p w14:paraId="1DEA057A" w14:textId="6BDED0EB" w:rsidR="00B72025" w:rsidRDefault="00445354" w:rsidP="00B720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C5824A" wp14:editId="70724C1C">
                                <wp:extent cx="1171575" cy="771525"/>
                                <wp:effectExtent l="0" t="0" r="0" b="0"/>
                                <wp:docPr id="2" name="Resi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9993745" w14:textId="77777777" w:rsidR="00AF4098" w:rsidRDefault="00AF4098" w:rsidP="001135BB">
          <w:pPr>
            <w:jc w:val="center"/>
          </w:pPr>
        </w:p>
        <w:p w14:paraId="15EA27B6" w14:textId="77777777" w:rsidR="00AF4098" w:rsidRPr="00B94931" w:rsidRDefault="00AF4098" w:rsidP="001135BB">
          <w:pPr>
            <w:jc w:val="center"/>
          </w:pPr>
        </w:p>
      </w:tc>
      <w:tc>
        <w:tcPr>
          <w:tcW w:w="5953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3023C32" w14:textId="77777777" w:rsidR="00AF4098" w:rsidRPr="00B72025" w:rsidRDefault="00B72025" w:rsidP="001135BB">
          <w:pPr>
            <w:pStyle w:val="stbilgi"/>
            <w:jc w:val="center"/>
            <w:rPr>
              <w:rFonts w:ascii="Arial Narrow" w:hAnsi="Arial Narrow"/>
              <w:b/>
            </w:rPr>
          </w:pPr>
          <w:r w:rsidRPr="00B72025">
            <w:rPr>
              <w:rFonts w:ascii="Arial Narrow" w:hAnsi="Arial Narrow"/>
              <w:b/>
              <w:sz w:val="16"/>
            </w:rPr>
            <w:t>TS EN ISO/IEC 17021 SİSTEM DOKÜMANTASYONU</w:t>
          </w:r>
        </w:p>
      </w:tc>
      <w:tc>
        <w:tcPr>
          <w:tcW w:w="141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17CC2428" w14:textId="77777777" w:rsidR="00BC244D" w:rsidRPr="001135BB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</w:p>
        <w:p w14:paraId="0D93CBC8" w14:textId="77777777" w:rsidR="00AF4098" w:rsidRPr="00CF0D89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0D89">
            <w:rPr>
              <w:rFonts w:ascii="Arial Narrow" w:hAnsi="Arial Narrow"/>
              <w:b/>
              <w:sz w:val="20"/>
              <w:szCs w:val="20"/>
            </w:rPr>
            <w:t>DOKÜMAN NO</w:t>
          </w:r>
        </w:p>
        <w:p w14:paraId="79FD6270" w14:textId="77777777" w:rsidR="00BC244D" w:rsidRPr="00CF0D89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  <w:p w14:paraId="08B65807" w14:textId="77777777" w:rsidR="00BC244D" w:rsidRPr="001135BB" w:rsidRDefault="00650C07" w:rsidP="001F1B2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0"/>
              <w:szCs w:val="20"/>
            </w:rPr>
            <w:t>TA</w:t>
          </w:r>
          <w:r w:rsidR="008D643A">
            <w:rPr>
              <w:rFonts w:ascii="Arial Narrow" w:hAnsi="Arial Narrow"/>
              <w:b/>
              <w:sz w:val="20"/>
              <w:szCs w:val="20"/>
            </w:rPr>
            <w:t>.00</w:t>
          </w:r>
          <w:r w:rsidR="00631E5E">
            <w:rPr>
              <w:rFonts w:ascii="Arial Narrow" w:hAnsi="Arial Narrow"/>
              <w:b/>
              <w:sz w:val="20"/>
              <w:szCs w:val="20"/>
            </w:rPr>
            <w:t>7</w:t>
          </w:r>
        </w:p>
      </w:tc>
    </w:tr>
    <w:tr w:rsidR="00AF4098" w:rsidRPr="001135BB" w14:paraId="207B9FEE" w14:textId="77777777" w:rsidTr="00F168CA">
      <w:trPr>
        <w:trHeight w:val="424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A4A4B7D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9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F3EB06F" w14:textId="77777777" w:rsidR="00AF4098" w:rsidRPr="001135BB" w:rsidRDefault="00AF4098" w:rsidP="009D5D14">
          <w:pPr>
            <w:pStyle w:val="stbilgi"/>
            <w:rPr>
              <w:rFonts w:ascii="Arial Narrow" w:hAnsi="Arial Narrow"/>
              <w:b/>
              <w:sz w:val="20"/>
              <w:szCs w:val="20"/>
            </w:rPr>
          </w:pPr>
          <w:r w:rsidRPr="001135BB">
            <w:rPr>
              <w:rFonts w:ascii="Arial Narrow" w:hAnsi="Arial Narrow"/>
              <w:b/>
              <w:sz w:val="20"/>
              <w:szCs w:val="20"/>
            </w:rPr>
            <w:t xml:space="preserve">KONU </w:t>
          </w:r>
        </w:p>
      </w:tc>
      <w:tc>
        <w:tcPr>
          <w:tcW w:w="496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036ABE" w14:textId="77777777" w:rsidR="00AF4098" w:rsidRPr="001135BB" w:rsidRDefault="008D6D5B" w:rsidP="008D6D5B">
          <w:pPr>
            <w:pStyle w:val="stbilgi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 xml:space="preserve">İTİRAZ VE </w:t>
          </w:r>
          <w:r w:rsidR="00631E5E">
            <w:rPr>
              <w:rFonts w:ascii="Arial Narrow" w:hAnsi="Arial Narrow"/>
              <w:sz w:val="20"/>
              <w:szCs w:val="20"/>
            </w:rPr>
            <w:t>ŞİKÂYET</w:t>
          </w:r>
          <w:r>
            <w:rPr>
              <w:rFonts w:ascii="Arial Narrow" w:hAnsi="Arial Narrow"/>
              <w:sz w:val="20"/>
              <w:szCs w:val="20"/>
            </w:rPr>
            <w:t xml:space="preserve"> DEĞERLENDİRME </w:t>
          </w:r>
          <w:r w:rsidR="00347F3E">
            <w:rPr>
              <w:rFonts w:ascii="Arial Narrow" w:hAnsi="Arial Narrow"/>
              <w:sz w:val="20"/>
              <w:szCs w:val="20"/>
            </w:rPr>
            <w:t>KOMİTESİ ÇALIŞMA</w:t>
          </w:r>
          <w:r w:rsidR="001F1B2B">
            <w:rPr>
              <w:rFonts w:ascii="Arial Narrow" w:hAnsi="Arial Narrow"/>
              <w:sz w:val="20"/>
              <w:szCs w:val="20"/>
            </w:rPr>
            <w:t xml:space="preserve"> TALİMATI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14:paraId="0522BB64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14:paraId="7500E826" w14:textId="77777777" w:rsidTr="00F168CA">
      <w:trPr>
        <w:trHeight w:val="290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1B33491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F486FB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No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9EAF8AA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Rev. Tarihi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527569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Yürürlük Tarihi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46F2D50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 xml:space="preserve">Sayfa 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14:paraId="282A2CAE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14:paraId="627EB935" w14:textId="77777777" w:rsidTr="00F168CA">
      <w:trPr>
        <w:trHeight w:val="266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ED6EAF2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002A8B" w14:textId="77777777" w:rsidR="00AF4098" w:rsidRPr="001135BB" w:rsidRDefault="00CB4B54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00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F6CEE29" w14:textId="77777777" w:rsidR="00AF4098" w:rsidRPr="001135BB" w:rsidRDefault="00CB4B54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00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F988A9" w14:textId="77777777" w:rsidR="00AF4098" w:rsidRPr="001135BB" w:rsidRDefault="00CB4B54" w:rsidP="00B72025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22.08.2016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FFCBF92" w14:textId="77777777"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PAGE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BB39C2">
            <w:rPr>
              <w:rStyle w:val="SayfaNumaras"/>
              <w:rFonts w:ascii="Arial Narrow" w:hAnsi="Arial Narrow"/>
              <w:noProof/>
              <w:sz w:val="16"/>
              <w:szCs w:val="16"/>
            </w:rPr>
            <w:t>2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t>/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BB39C2">
            <w:rPr>
              <w:rStyle w:val="SayfaNumaras"/>
              <w:rFonts w:ascii="Arial Narrow" w:hAnsi="Arial Narrow"/>
              <w:noProof/>
              <w:sz w:val="16"/>
              <w:szCs w:val="16"/>
            </w:rPr>
            <w:t>2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418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E4E0767" w14:textId="77777777"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</w:tbl>
  <w:p w14:paraId="32940856" w14:textId="77777777" w:rsidR="009D5D14" w:rsidRPr="009D5D14" w:rsidRDefault="009D5D14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1D0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5E86FF2"/>
    <w:multiLevelType w:val="hybridMultilevel"/>
    <w:tmpl w:val="AEC07AB2"/>
    <w:lvl w:ilvl="0" w:tplc="041F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ECB511C"/>
    <w:multiLevelType w:val="hybridMultilevel"/>
    <w:tmpl w:val="DE285BD4"/>
    <w:lvl w:ilvl="0" w:tplc="041F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14"/>
    <w:rsid w:val="000144C8"/>
    <w:rsid w:val="00017391"/>
    <w:rsid w:val="00022527"/>
    <w:rsid w:val="00035D1D"/>
    <w:rsid w:val="00042DA0"/>
    <w:rsid w:val="00043369"/>
    <w:rsid w:val="000465E1"/>
    <w:rsid w:val="00056D0A"/>
    <w:rsid w:val="00066686"/>
    <w:rsid w:val="000719D0"/>
    <w:rsid w:val="00071F3E"/>
    <w:rsid w:val="00081987"/>
    <w:rsid w:val="000971B5"/>
    <w:rsid w:val="000B2494"/>
    <w:rsid w:val="000B45EB"/>
    <w:rsid w:val="000B7895"/>
    <w:rsid w:val="000C616D"/>
    <w:rsid w:val="000D1AAD"/>
    <w:rsid w:val="000E180B"/>
    <w:rsid w:val="000E5E64"/>
    <w:rsid w:val="000F051F"/>
    <w:rsid w:val="000F2E5E"/>
    <w:rsid w:val="000F315E"/>
    <w:rsid w:val="00100B34"/>
    <w:rsid w:val="00107B0B"/>
    <w:rsid w:val="001135BB"/>
    <w:rsid w:val="00125950"/>
    <w:rsid w:val="00133DBA"/>
    <w:rsid w:val="001400F1"/>
    <w:rsid w:val="00150392"/>
    <w:rsid w:val="0015595A"/>
    <w:rsid w:val="00157B4D"/>
    <w:rsid w:val="00160CAE"/>
    <w:rsid w:val="00170F0A"/>
    <w:rsid w:val="00171773"/>
    <w:rsid w:val="001734B3"/>
    <w:rsid w:val="0019101E"/>
    <w:rsid w:val="001C3A39"/>
    <w:rsid w:val="001D4C06"/>
    <w:rsid w:val="001E11D0"/>
    <w:rsid w:val="001E4463"/>
    <w:rsid w:val="001E7F8F"/>
    <w:rsid w:val="001F1B2B"/>
    <w:rsid w:val="00241AB6"/>
    <w:rsid w:val="00242CCB"/>
    <w:rsid w:val="00256539"/>
    <w:rsid w:val="0025698B"/>
    <w:rsid w:val="002578E7"/>
    <w:rsid w:val="0026593C"/>
    <w:rsid w:val="0026594F"/>
    <w:rsid w:val="00266F25"/>
    <w:rsid w:val="0028177F"/>
    <w:rsid w:val="002839E7"/>
    <w:rsid w:val="002849B8"/>
    <w:rsid w:val="002A445E"/>
    <w:rsid w:val="002A4C55"/>
    <w:rsid w:val="002A5F36"/>
    <w:rsid w:val="002B6C59"/>
    <w:rsid w:val="002C6523"/>
    <w:rsid w:val="002D014F"/>
    <w:rsid w:val="002D5D3A"/>
    <w:rsid w:val="002F6B26"/>
    <w:rsid w:val="00301390"/>
    <w:rsid w:val="003061CA"/>
    <w:rsid w:val="00306BA2"/>
    <w:rsid w:val="00314744"/>
    <w:rsid w:val="003200F9"/>
    <w:rsid w:val="00324D15"/>
    <w:rsid w:val="00334758"/>
    <w:rsid w:val="00347F3E"/>
    <w:rsid w:val="00362AAA"/>
    <w:rsid w:val="00365888"/>
    <w:rsid w:val="0037041E"/>
    <w:rsid w:val="00370661"/>
    <w:rsid w:val="00380512"/>
    <w:rsid w:val="0039274B"/>
    <w:rsid w:val="003A29A6"/>
    <w:rsid w:val="003C029B"/>
    <w:rsid w:val="003E4527"/>
    <w:rsid w:val="003F1698"/>
    <w:rsid w:val="004036B8"/>
    <w:rsid w:val="004274A3"/>
    <w:rsid w:val="004344A1"/>
    <w:rsid w:val="00445354"/>
    <w:rsid w:val="00454E16"/>
    <w:rsid w:val="00467CF8"/>
    <w:rsid w:val="00473E93"/>
    <w:rsid w:val="00482E16"/>
    <w:rsid w:val="0048573B"/>
    <w:rsid w:val="00494BDD"/>
    <w:rsid w:val="004955D8"/>
    <w:rsid w:val="00495711"/>
    <w:rsid w:val="004967AB"/>
    <w:rsid w:val="004A13F1"/>
    <w:rsid w:val="004C0CBF"/>
    <w:rsid w:val="004C4464"/>
    <w:rsid w:val="004D048E"/>
    <w:rsid w:val="004E68BD"/>
    <w:rsid w:val="004E73A2"/>
    <w:rsid w:val="004F5226"/>
    <w:rsid w:val="004F627D"/>
    <w:rsid w:val="004F6320"/>
    <w:rsid w:val="00501285"/>
    <w:rsid w:val="00507AF2"/>
    <w:rsid w:val="005122E7"/>
    <w:rsid w:val="0052541E"/>
    <w:rsid w:val="005641EF"/>
    <w:rsid w:val="005824AD"/>
    <w:rsid w:val="005828A9"/>
    <w:rsid w:val="0058320D"/>
    <w:rsid w:val="005D0BD6"/>
    <w:rsid w:val="005D2059"/>
    <w:rsid w:val="005D503E"/>
    <w:rsid w:val="005E07B4"/>
    <w:rsid w:val="005E7CA5"/>
    <w:rsid w:val="005F7ECF"/>
    <w:rsid w:val="006026A6"/>
    <w:rsid w:val="00602D46"/>
    <w:rsid w:val="0060420F"/>
    <w:rsid w:val="006230E8"/>
    <w:rsid w:val="00625EEF"/>
    <w:rsid w:val="00631E5E"/>
    <w:rsid w:val="006367A1"/>
    <w:rsid w:val="00642F0E"/>
    <w:rsid w:val="00646097"/>
    <w:rsid w:val="006466F6"/>
    <w:rsid w:val="00650C07"/>
    <w:rsid w:val="0065625A"/>
    <w:rsid w:val="00657C05"/>
    <w:rsid w:val="0067360F"/>
    <w:rsid w:val="00690224"/>
    <w:rsid w:val="00690B84"/>
    <w:rsid w:val="006966DF"/>
    <w:rsid w:val="006A13CA"/>
    <w:rsid w:val="006A4DD1"/>
    <w:rsid w:val="006C3ECC"/>
    <w:rsid w:val="006E647C"/>
    <w:rsid w:val="006F6B10"/>
    <w:rsid w:val="00703659"/>
    <w:rsid w:val="00704DD0"/>
    <w:rsid w:val="00707FB2"/>
    <w:rsid w:val="007176D3"/>
    <w:rsid w:val="007204BE"/>
    <w:rsid w:val="00720982"/>
    <w:rsid w:val="007343C1"/>
    <w:rsid w:val="00752FD7"/>
    <w:rsid w:val="00755297"/>
    <w:rsid w:val="00761E34"/>
    <w:rsid w:val="0078024C"/>
    <w:rsid w:val="007932FC"/>
    <w:rsid w:val="0079435E"/>
    <w:rsid w:val="00794592"/>
    <w:rsid w:val="007A26FC"/>
    <w:rsid w:val="007B6280"/>
    <w:rsid w:val="007D7065"/>
    <w:rsid w:val="007F3E5D"/>
    <w:rsid w:val="00834293"/>
    <w:rsid w:val="00836FBF"/>
    <w:rsid w:val="00847739"/>
    <w:rsid w:val="008504CF"/>
    <w:rsid w:val="00854EE4"/>
    <w:rsid w:val="00863DF8"/>
    <w:rsid w:val="008772E8"/>
    <w:rsid w:val="00891249"/>
    <w:rsid w:val="008944BF"/>
    <w:rsid w:val="00895A56"/>
    <w:rsid w:val="008A641B"/>
    <w:rsid w:val="008C63D8"/>
    <w:rsid w:val="008D1C32"/>
    <w:rsid w:val="008D5CED"/>
    <w:rsid w:val="008D643A"/>
    <w:rsid w:val="008D6D5B"/>
    <w:rsid w:val="008D6DAF"/>
    <w:rsid w:val="008E0929"/>
    <w:rsid w:val="008E7CBA"/>
    <w:rsid w:val="00920695"/>
    <w:rsid w:val="009238FD"/>
    <w:rsid w:val="009240DC"/>
    <w:rsid w:val="00933C5E"/>
    <w:rsid w:val="00935689"/>
    <w:rsid w:val="0095503D"/>
    <w:rsid w:val="00967A82"/>
    <w:rsid w:val="00982930"/>
    <w:rsid w:val="009A3E23"/>
    <w:rsid w:val="009A41D5"/>
    <w:rsid w:val="009A429A"/>
    <w:rsid w:val="009A4FAF"/>
    <w:rsid w:val="009C0AAC"/>
    <w:rsid w:val="009C1ECB"/>
    <w:rsid w:val="009C6A44"/>
    <w:rsid w:val="009D5D14"/>
    <w:rsid w:val="009E33B8"/>
    <w:rsid w:val="00A202F4"/>
    <w:rsid w:val="00A23BBD"/>
    <w:rsid w:val="00A327ED"/>
    <w:rsid w:val="00A34868"/>
    <w:rsid w:val="00A42774"/>
    <w:rsid w:val="00A724B6"/>
    <w:rsid w:val="00A74EA5"/>
    <w:rsid w:val="00A96BDB"/>
    <w:rsid w:val="00AA1D4D"/>
    <w:rsid w:val="00AA228D"/>
    <w:rsid w:val="00AB1544"/>
    <w:rsid w:val="00AC2FAC"/>
    <w:rsid w:val="00AE29DD"/>
    <w:rsid w:val="00AE5DC6"/>
    <w:rsid w:val="00AF2FBB"/>
    <w:rsid w:val="00AF4098"/>
    <w:rsid w:val="00B02226"/>
    <w:rsid w:val="00B0463B"/>
    <w:rsid w:val="00B36979"/>
    <w:rsid w:val="00B41DA1"/>
    <w:rsid w:val="00B54610"/>
    <w:rsid w:val="00B71F3B"/>
    <w:rsid w:val="00B72025"/>
    <w:rsid w:val="00B810F3"/>
    <w:rsid w:val="00B91E22"/>
    <w:rsid w:val="00B94931"/>
    <w:rsid w:val="00BA23C5"/>
    <w:rsid w:val="00BB39C2"/>
    <w:rsid w:val="00BB780B"/>
    <w:rsid w:val="00BC244D"/>
    <w:rsid w:val="00BD6D17"/>
    <w:rsid w:val="00BF3D21"/>
    <w:rsid w:val="00BF7AB5"/>
    <w:rsid w:val="00C070E8"/>
    <w:rsid w:val="00C25B03"/>
    <w:rsid w:val="00C275B9"/>
    <w:rsid w:val="00C30A36"/>
    <w:rsid w:val="00C35F0A"/>
    <w:rsid w:val="00C54864"/>
    <w:rsid w:val="00C55A06"/>
    <w:rsid w:val="00C63F14"/>
    <w:rsid w:val="00C832EF"/>
    <w:rsid w:val="00C854D5"/>
    <w:rsid w:val="00C95258"/>
    <w:rsid w:val="00CA3235"/>
    <w:rsid w:val="00CA348D"/>
    <w:rsid w:val="00CB127A"/>
    <w:rsid w:val="00CB27EE"/>
    <w:rsid w:val="00CB4B54"/>
    <w:rsid w:val="00CC12FA"/>
    <w:rsid w:val="00CC4BD5"/>
    <w:rsid w:val="00CC5534"/>
    <w:rsid w:val="00CC7AF3"/>
    <w:rsid w:val="00CE4238"/>
    <w:rsid w:val="00CF0D89"/>
    <w:rsid w:val="00D0544F"/>
    <w:rsid w:val="00D16F8A"/>
    <w:rsid w:val="00D23853"/>
    <w:rsid w:val="00D45111"/>
    <w:rsid w:val="00D50445"/>
    <w:rsid w:val="00D60A3C"/>
    <w:rsid w:val="00D67DCD"/>
    <w:rsid w:val="00D744C3"/>
    <w:rsid w:val="00D75152"/>
    <w:rsid w:val="00D82BD2"/>
    <w:rsid w:val="00D97552"/>
    <w:rsid w:val="00DA79CE"/>
    <w:rsid w:val="00DB6492"/>
    <w:rsid w:val="00DC0DF1"/>
    <w:rsid w:val="00DD00C9"/>
    <w:rsid w:val="00DD1A6C"/>
    <w:rsid w:val="00DE6C6C"/>
    <w:rsid w:val="00E130AF"/>
    <w:rsid w:val="00E218ED"/>
    <w:rsid w:val="00E33BDC"/>
    <w:rsid w:val="00E45E18"/>
    <w:rsid w:val="00E5427C"/>
    <w:rsid w:val="00E54B05"/>
    <w:rsid w:val="00E602D2"/>
    <w:rsid w:val="00E73B18"/>
    <w:rsid w:val="00E76485"/>
    <w:rsid w:val="00E84684"/>
    <w:rsid w:val="00EB0F6B"/>
    <w:rsid w:val="00EC4A3C"/>
    <w:rsid w:val="00ED01A6"/>
    <w:rsid w:val="00ED5FD2"/>
    <w:rsid w:val="00EE0AF6"/>
    <w:rsid w:val="00EE63C3"/>
    <w:rsid w:val="00EF27BB"/>
    <w:rsid w:val="00EF6E1A"/>
    <w:rsid w:val="00EF77D8"/>
    <w:rsid w:val="00F055CB"/>
    <w:rsid w:val="00F061DF"/>
    <w:rsid w:val="00F15911"/>
    <w:rsid w:val="00F15A9E"/>
    <w:rsid w:val="00F168CA"/>
    <w:rsid w:val="00F240A0"/>
    <w:rsid w:val="00F335B9"/>
    <w:rsid w:val="00F34AF0"/>
    <w:rsid w:val="00F36A97"/>
    <w:rsid w:val="00F42EC2"/>
    <w:rsid w:val="00F50B35"/>
    <w:rsid w:val="00F72642"/>
    <w:rsid w:val="00F73648"/>
    <w:rsid w:val="00F76BB0"/>
    <w:rsid w:val="00F82D12"/>
    <w:rsid w:val="00F86526"/>
    <w:rsid w:val="00F86DD1"/>
    <w:rsid w:val="00F87195"/>
    <w:rsid w:val="00F92708"/>
    <w:rsid w:val="00FA3CA9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2551F1"/>
  <w15:chartTrackingRefBased/>
  <w15:docId w15:val="{5BAD195C-A848-4257-A2AD-DF636F89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9D5D14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9D5D1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9D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34AF0"/>
  </w:style>
  <w:style w:type="paragraph" w:styleId="BalonMetni">
    <w:name w:val="Balloon Text"/>
    <w:basedOn w:val="Normal"/>
    <w:semiHidden/>
    <w:rsid w:val="00380512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6230E8"/>
    <w:rPr>
      <w:szCs w:val="20"/>
      <w:lang w:eastAsia="en-US"/>
    </w:rPr>
  </w:style>
  <w:style w:type="paragraph" w:styleId="ListeParagraf">
    <w:name w:val="List Paragraph"/>
    <w:basedOn w:val="Normal"/>
    <w:uiPriority w:val="34"/>
    <w:qFormat/>
    <w:rsid w:val="000E5E64"/>
    <w:pPr>
      <w:ind w:left="708"/>
    </w:pPr>
  </w:style>
  <w:style w:type="paragraph" w:styleId="bekMetni">
    <w:name w:val="Block Text"/>
    <w:basedOn w:val="Normal"/>
    <w:rsid w:val="00CB27EE"/>
    <w:pPr>
      <w:ind w:left="708" w:right="857"/>
    </w:pPr>
    <w:rPr>
      <w:szCs w:val="20"/>
      <w:lang w:eastAsia="en-US"/>
    </w:rPr>
  </w:style>
  <w:style w:type="character" w:customStyle="1" w:styleId="tw4winMark">
    <w:name w:val="tw4winMark"/>
    <w:rsid w:val="00CB27EE"/>
    <w:rPr>
      <w:rFonts w:ascii="Courier New" w:hAnsi="Courier New" w:cs="Courier New"/>
      <w:vanish/>
      <w:color w:val="800080"/>
      <w:vertAlign w:val="subscript"/>
    </w:rPr>
  </w:style>
  <w:style w:type="character" w:customStyle="1" w:styleId="tw4winmark0">
    <w:name w:val="tw4winmark"/>
    <w:basedOn w:val="VarsaylanParagrafYazTipi"/>
    <w:rsid w:val="00F240A0"/>
  </w:style>
  <w:style w:type="character" w:styleId="Kpr">
    <w:name w:val="Hyperlink"/>
    <w:rsid w:val="00F15A9E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A429A"/>
    <w:pPr>
      <w:spacing w:after="120"/>
    </w:pPr>
  </w:style>
  <w:style w:type="character" w:customStyle="1" w:styleId="GvdeMetniChar">
    <w:name w:val="Gövde Metni Char"/>
    <w:link w:val="GvdeMetni"/>
    <w:uiPriority w:val="99"/>
    <w:semiHidden/>
    <w:rsid w:val="009A42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0A86-CA2D-4982-9D74-046E7D8D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ERMAKSAN MAK.SAN. ve TİC.LTD.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Kalite_2</dc:creator>
  <cp:keywords/>
  <cp:lastModifiedBy>EGBS</cp:lastModifiedBy>
  <cp:revision>2</cp:revision>
  <cp:lastPrinted>2012-11-26T10:01:00Z</cp:lastPrinted>
  <dcterms:created xsi:type="dcterms:W3CDTF">2020-10-21T11:01:00Z</dcterms:created>
  <dcterms:modified xsi:type="dcterms:W3CDTF">2020-10-21T11:01:00Z</dcterms:modified>
</cp:coreProperties>
</file>