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D3D4" w14:textId="37551CF1" w:rsidR="00B6483B" w:rsidRDefault="00DC4889" w:rsidP="00DC4889">
      <w:pPr>
        <w:pStyle w:val="Balk1"/>
        <w:numPr>
          <w:ilvl w:val="0"/>
          <w:numId w:val="3"/>
        </w:numPr>
      </w:pPr>
      <w:r>
        <w:t>AMAÇ</w:t>
      </w:r>
    </w:p>
    <w:p w14:paraId="686B2EE6" w14:textId="3B27D53C" w:rsidR="00DC4889" w:rsidRDefault="00DC4889" w:rsidP="00DC4889">
      <w:r>
        <w:t xml:space="preserve">Bu doküman, TS EN ISO/IEC 17065 standardı şartları çerçevesinde, TS EN ISO/IEC 17067 çerçevesi çizilen ürün belgelendirme programı sistem 5’e uygun olarak, kapsamda belirtilen ürünlerin </w:t>
      </w:r>
      <w:r w:rsidR="0025714B">
        <w:t xml:space="preserve">mevzuat haricinde (ihtiyari olarak) </w:t>
      </w:r>
      <w:r>
        <w:t xml:space="preserve">belgelendirmesine ilişkin şartları bir belgelendirme programı mahiyetinde ortaya koymayı amaçlar. </w:t>
      </w:r>
      <w:proofErr w:type="spellStart"/>
      <w:r>
        <w:t>EUROGAP’ın</w:t>
      </w:r>
      <w:proofErr w:type="spellEnd"/>
      <w:r>
        <w:t xml:space="preserve"> İhtiyari Alanda Ürün Belgelendirme Prosedürü ile birlikte kullanılır.</w:t>
      </w:r>
    </w:p>
    <w:p w14:paraId="3D8EAD1B" w14:textId="36276EF1" w:rsidR="00DC4889" w:rsidRDefault="00DC4889" w:rsidP="00DC4889">
      <w:pPr>
        <w:pStyle w:val="Balk1"/>
        <w:numPr>
          <w:ilvl w:val="0"/>
          <w:numId w:val="3"/>
        </w:numPr>
      </w:pPr>
      <w:r>
        <w:t>KAPSAM</w:t>
      </w:r>
    </w:p>
    <w:p w14:paraId="731CCE1C" w14:textId="1C970840" w:rsidR="00DC4889" w:rsidRDefault="00DC4889" w:rsidP="00DC4889">
      <w:r>
        <w:t xml:space="preserve">Bu doküman aşağıdaki tabloda verilen </w:t>
      </w:r>
      <w:r w:rsidR="005D2551">
        <w:t xml:space="preserve">standartlara ilişkin uygunluk belgelendirmesini </w:t>
      </w:r>
      <w:r>
        <w:t>kapsar:</w:t>
      </w:r>
    </w:p>
    <w:tbl>
      <w:tblPr>
        <w:tblStyle w:val="TabloKlavuzu"/>
        <w:tblW w:w="0" w:type="auto"/>
        <w:tblLook w:val="04A0" w:firstRow="1" w:lastRow="0" w:firstColumn="1" w:lastColumn="0" w:noHBand="0" w:noVBand="1"/>
      </w:tblPr>
      <w:tblGrid>
        <w:gridCol w:w="4531"/>
        <w:gridCol w:w="4531"/>
      </w:tblGrid>
      <w:tr w:rsidR="005D2551" w:rsidRPr="005D2551" w14:paraId="0B1AE5BF" w14:textId="77777777" w:rsidTr="00EF6188">
        <w:tc>
          <w:tcPr>
            <w:tcW w:w="4531" w:type="dxa"/>
          </w:tcPr>
          <w:p w14:paraId="5EB669A8" w14:textId="77777777" w:rsidR="005D2551" w:rsidRPr="005D2551" w:rsidRDefault="005D2551" w:rsidP="00EF6188">
            <w:pPr>
              <w:rPr>
                <w:rFonts w:cstheme="minorHAnsi"/>
                <w:sz w:val="20"/>
                <w:szCs w:val="20"/>
              </w:rPr>
            </w:pPr>
            <w:r w:rsidRPr="005D2551">
              <w:rPr>
                <w:rFonts w:cstheme="minorHAnsi"/>
                <w:sz w:val="20"/>
                <w:szCs w:val="20"/>
              </w:rPr>
              <w:t>Beton</w:t>
            </w:r>
          </w:p>
        </w:tc>
        <w:tc>
          <w:tcPr>
            <w:tcW w:w="4531" w:type="dxa"/>
          </w:tcPr>
          <w:p w14:paraId="170033D1" w14:textId="77777777" w:rsidR="005D2551" w:rsidRPr="00C40F4B" w:rsidRDefault="005D2551" w:rsidP="00C40F4B">
            <w:pPr>
              <w:pStyle w:val="ListeParagraf"/>
              <w:numPr>
                <w:ilvl w:val="0"/>
                <w:numId w:val="9"/>
              </w:numPr>
              <w:rPr>
                <w:rFonts w:cstheme="minorHAnsi"/>
                <w:sz w:val="20"/>
                <w:szCs w:val="20"/>
              </w:rPr>
            </w:pPr>
            <w:r w:rsidRPr="00C40F4B">
              <w:rPr>
                <w:rFonts w:cstheme="minorHAnsi"/>
                <w:sz w:val="20"/>
                <w:szCs w:val="20"/>
              </w:rPr>
              <w:t>TS EN 206+A2</w:t>
            </w:r>
          </w:p>
          <w:p w14:paraId="65DA8486" w14:textId="0420AB35" w:rsidR="005D2551" w:rsidRPr="00C40F4B" w:rsidRDefault="005D2551" w:rsidP="00C40F4B">
            <w:pPr>
              <w:pStyle w:val="ListeParagraf"/>
              <w:numPr>
                <w:ilvl w:val="0"/>
                <w:numId w:val="9"/>
              </w:numPr>
              <w:rPr>
                <w:rFonts w:cstheme="minorHAnsi"/>
                <w:sz w:val="20"/>
                <w:szCs w:val="20"/>
              </w:rPr>
            </w:pPr>
            <w:r w:rsidRPr="00C40F4B">
              <w:rPr>
                <w:rFonts w:cstheme="minorHAnsi"/>
                <w:sz w:val="20"/>
                <w:szCs w:val="20"/>
              </w:rPr>
              <w:t>TS 13515</w:t>
            </w:r>
            <w:r w:rsidR="00C40F4B" w:rsidRPr="00C40F4B">
              <w:rPr>
                <w:rFonts w:cstheme="minorHAnsi"/>
                <w:sz w:val="20"/>
                <w:szCs w:val="20"/>
              </w:rPr>
              <w:t xml:space="preserve">, </w:t>
            </w:r>
            <w:r w:rsidRPr="00C40F4B">
              <w:rPr>
                <w:rFonts w:cstheme="minorHAnsi"/>
                <w:sz w:val="20"/>
                <w:szCs w:val="20"/>
              </w:rPr>
              <w:t>TS 13515/T1</w:t>
            </w:r>
            <w:r w:rsidR="00C40F4B" w:rsidRPr="00C40F4B">
              <w:rPr>
                <w:rFonts w:cstheme="minorHAnsi"/>
                <w:sz w:val="20"/>
                <w:szCs w:val="20"/>
              </w:rPr>
              <w:t xml:space="preserve">, </w:t>
            </w:r>
            <w:r w:rsidRPr="00C40F4B">
              <w:rPr>
                <w:rFonts w:cstheme="minorHAnsi"/>
                <w:sz w:val="20"/>
                <w:szCs w:val="20"/>
              </w:rPr>
              <w:t>TS 13515/T2</w:t>
            </w:r>
          </w:p>
        </w:tc>
      </w:tr>
      <w:tr w:rsidR="005D2551" w:rsidRPr="005D2551" w14:paraId="0253C301" w14:textId="77777777" w:rsidTr="00EF6188">
        <w:tc>
          <w:tcPr>
            <w:tcW w:w="4531" w:type="dxa"/>
          </w:tcPr>
          <w:p w14:paraId="21EC746E" w14:textId="77777777" w:rsidR="005D2551" w:rsidRPr="005D2551" w:rsidRDefault="005D2551" w:rsidP="00EF6188">
            <w:pPr>
              <w:pStyle w:val="TableParagraph"/>
              <w:spacing w:before="45"/>
              <w:ind w:left="31"/>
              <w:rPr>
                <w:rFonts w:asciiTheme="minorHAnsi" w:hAnsiTheme="minorHAnsi" w:cstheme="minorHAnsi"/>
                <w:sz w:val="20"/>
                <w:szCs w:val="20"/>
              </w:rPr>
            </w:pPr>
            <w:r w:rsidRPr="005D2551">
              <w:rPr>
                <w:rFonts w:asciiTheme="minorHAnsi" w:hAnsiTheme="minorHAnsi" w:cstheme="minorHAnsi"/>
                <w:sz w:val="20"/>
                <w:szCs w:val="20"/>
              </w:rPr>
              <w:t>Beton Ürünler</w:t>
            </w:r>
          </w:p>
        </w:tc>
        <w:tc>
          <w:tcPr>
            <w:tcW w:w="4531" w:type="dxa"/>
          </w:tcPr>
          <w:p w14:paraId="1F477778" w14:textId="77777777" w:rsidR="00C40F4B" w:rsidRPr="00C40F4B" w:rsidRDefault="005D2551" w:rsidP="00C40F4B">
            <w:pPr>
              <w:pStyle w:val="ListeParagraf"/>
              <w:numPr>
                <w:ilvl w:val="0"/>
                <w:numId w:val="8"/>
              </w:numPr>
              <w:rPr>
                <w:rFonts w:cstheme="minorHAnsi"/>
                <w:sz w:val="20"/>
                <w:szCs w:val="20"/>
              </w:rPr>
            </w:pPr>
            <w:r w:rsidRPr="00C40F4B">
              <w:rPr>
                <w:rFonts w:cstheme="minorHAnsi"/>
                <w:sz w:val="20"/>
                <w:szCs w:val="20"/>
              </w:rPr>
              <w:t>TS 821 EN 1916, TS</w:t>
            </w:r>
            <w:r w:rsidR="00C40F4B" w:rsidRPr="00C40F4B">
              <w:rPr>
                <w:rFonts w:cstheme="minorHAnsi"/>
                <w:sz w:val="20"/>
                <w:szCs w:val="20"/>
              </w:rPr>
              <w:t xml:space="preserve"> </w:t>
            </w:r>
            <w:r w:rsidRPr="00C40F4B">
              <w:rPr>
                <w:rFonts w:cstheme="minorHAnsi"/>
                <w:sz w:val="20"/>
                <w:szCs w:val="20"/>
              </w:rPr>
              <w:t xml:space="preserve">821 EN 1916/AC, </w:t>
            </w:r>
          </w:p>
          <w:p w14:paraId="264CB078" w14:textId="77777777" w:rsidR="00C40F4B" w:rsidRPr="00C40F4B" w:rsidRDefault="005D2551" w:rsidP="00C40F4B">
            <w:pPr>
              <w:pStyle w:val="ListeParagraf"/>
              <w:numPr>
                <w:ilvl w:val="0"/>
                <w:numId w:val="8"/>
              </w:numPr>
              <w:rPr>
                <w:rFonts w:cstheme="minorHAnsi"/>
                <w:sz w:val="20"/>
                <w:szCs w:val="20"/>
              </w:rPr>
            </w:pPr>
            <w:r w:rsidRPr="00C40F4B">
              <w:rPr>
                <w:rFonts w:cstheme="minorHAnsi"/>
                <w:sz w:val="20"/>
                <w:szCs w:val="20"/>
              </w:rPr>
              <w:t>TS</w:t>
            </w:r>
            <w:r w:rsidR="00C40F4B" w:rsidRPr="00C40F4B">
              <w:rPr>
                <w:rFonts w:cstheme="minorHAnsi"/>
                <w:sz w:val="20"/>
                <w:szCs w:val="20"/>
              </w:rPr>
              <w:t xml:space="preserve"> </w:t>
            </w:r>
            <w:r w:rsidRPr="00C40F4B">
              <w:rPr>
                <w:rFonts w:cstheme="minorHAnsi"/>
                <w:sz w:val="20"/>
                <w:szCs w:val="20"/>
              </w:rPr>
              <w:t>EN 1917, TS EN</w:t>
            </w:r>
            <w:r w:rsidR="00C40F4B" w:rsidRPr="00C40F4B">
              <w:rPr>
                <w:rFonts w:cstheme="minorHAnsi"/>
                <w:sz w:val="20"/>
                <w:szCs w:val="20"/>
              </w:rPr>
              <w:t xml:space="preserve"> </w:t>
            </w:r>
            <w:r w:rsidRPr="00C40F4B">
              <w:rPr>
                <w:rFonts w:cstheme="minorHAnsi"/>
                <w:sz w:val="20"/>
                <w:szCs w:val="20"/>
              </w:rPr>
              <w:t xml:space="preserve">1917/AC, </w:t>
            </w:r>
          </w:p>
          <w:p w14:paraId="445818BB" w14:textId="77777777" w:rsidR="00C40F4B" w:rsidRPr="00C40F4B" w:rsidRDefault="005D2551" w:rsidP="00C40F4B">
            <w:pPr>
              <w:pStyle w:val="ListeParagraf"/>
              <w:numPr>
                <w:ilvl w:val="0"/>
                <w:numId w:val="8"/>
              </w:numPr>
              <w:rPr>
                <w:rFonts w:cstheme="minorHAnsi"/>
                <w:sz w:val="20"/>
                <w:szCs w:val="20"/>
              </w:rPr>
            </w:pPr>
            <w:r w:rsidRPr="00C40F4B">
              <w:rPr>
                <w:rFonts w:cstheme="minorHAnsi"/>
                <w:sz w:val="20"/>
                <w:szCs w:val="20"/>
              </w:rPr>
              <w:t>TS 2824 EN</w:t>
            </w:r>
            <w:r w:rsidR="00C40F4B" w:rsidRPr="00C40F4B">
              <w:rPr>
                <w:rFonts w:cstheme="minorHAnsi"/>
                <w:sz w:val="20"/>
                <w:szCs w:val="20"/>
              </w:rPr>
              <w:t xml:space="preserve"> </w:t>
            </w:r>
            <w:r w:rsidRPr="00C40F4B">
              <w:rPr>
                <w:rFonts w:cstheme="minorHAnsi"/>
                <w:sz w:val="20"/>
                <w:szCs w:val="20"/>
              </w:rPr>
              <w:t>1338, TS 2824 EN</w:t>
            </w:r>
            <w:r w:rsidR="00C40F4B" w:rsidRPr="00C40F4B">
              <w:rPr>
                <w:rFonts w:cstheme="minorHAnsi"/>
                <w:sz w:val="20"/>
                <w:szCs w:val="20"/>
              </w:rPr>
              <w:t xml:space="preserve"> </w:t>
            </w:r>
            <w:r w:rsidRPr="00C40F4B">
              <w:rPr>
                <w:rFonts w:cstheme="minorHAnsi"/>
                <w:sz w:val="20"/>
                <w:szCs w:val="20"/>
              </w:rPr>
              <w:t>1338/AC, TS 2824 EN</w:t>
            </w:r>
            <w:r w:rsidR="00C40F4B" w:rsidRPr="00C40F4B">
              <w:rPr>
                <w:rFonts w:cstheme="minorHAnsi"/>
                <w:sz w:val="20"/>
                <w:szCs w:val="20"/>
              </w:rPr>
              <w:t xml:space="preserve"> </w:t>
            </w:r>
            <w:r w:rsidRPr="00C40F4B">
              <w:rPr>
                <w:rFonts w:cstheme="minorHAnsi"/>
                <w:sz w:val="20"/>
                <w:szCs w:val="20"/>
              </w:rPr>
              <w:t>1338/T1</w:t>
            </w:r>
          </w:p>
          <w:p w14:paraId="299B3582" w14:textId="77777777" w:rsidR="00C40F4B" w:rsidRPr="00C40F4B" w:rsidRDefault="005D2551" w:rsidP="00C40F4B">
            <w:pPr>
              <w:pStyle w:val="ListeParagraf"/>
              <w:numPr>
                <w:ilvl w:val="0"/>
                <w:numId w:val="8"/>
              </w:numPr>
              <w:rPr>
                <w:rFonts w:cstheme="minorHAnsi"/>
                <w:sz w:val="20"/>
                <w:szCs w:val="20"/>
              </w:rPr>
            </w:pPr>
            <w:r w:rsidRPr="00C40F4B">
              <w:rPr>
                <w:rFonts w:cstheme="minorHAnsi"/>
                <w:sz w:val="20"/>
                <w:szCs w:val="20"/>
              </w:rPr>
              <w:t>TS 436 EN</w:t>
            </w:r>
            <w:r w:rsidR="00C40F4B" w:rsidRPr="00C40F4B">
              <w:rPr>
                <w:rFonts w:cstheme="minorHAnsi"/>
                <w:sz w:val="20"/>
                <w:szCs w:val="20"/>
              </w:rPr>
              <w:t xml:space="preserve"> </w:t>
            </w:r>
            <w:r w:rsidRPr="00C40F4B">
              <w:rPr>
                <w:rFonts w:cstheme="minorHAnsi"/>
                <w:sz w:val="20"/>
                <w:szCs w:val="20"/>
              </w:rPr>
              <w:t>1340, TS 436 EN</w:t>
            </w:r>
            <w:r w:rsidR="00C40F4B" w:rsidRPr="00C40F4B">
              <w:rPr>
                <w:rFonts w:cstheme="minorHAnsi"/>
                <w:sz w:val="20"/>
                <w:szCs w:val="20"/>
              </w:rPr>
              <w:t xml:space="preserve"> </w:t>
            </w:r>
            <w:r w:rsidRPr="00C40F4B">
              <w:rPr>
                <w:rFonts w:cstheme="minorHAnsi"/>
                <w:sz w:val="20"/>
                <w:szCs w:val="20"/>
              </w:rPr>
              <w:t>1340/AC, TS 436 EN</w:t>
            </w:r>
            <w:r w:rsidR="00C40F4B" w:rsidRPr="00C40F4B">
              <w:rPr>
                <w:rFonts w:cstheme="minorHAnsi"/>
                <w:sz w:val="20"/>
                <w:szCs w:val="20"/>
              </w:rPr>
              <w:t xml:space="preserve"> </w:t>
            </w:r>
            <w:r w:rsidRPr="00C40F4B">
              <w:rPr>
                <w:rFonts w:cstheme="minorHAnsi"/>
                <w:sz w:val="20"/>
                <w:szCs w:val="20"/>
              </w:rPr>
              <w:t>1340/T1, TS 436 EN</w:t>
            </w:r>
            <w:r w:rsidR="00C40F4B" w:rsidRPr="00C40F4B">
              <w:rPr>
                <w:rFonts w:cstheme="minorHAnsi"/>
                <w:sz w:val="20"/>
                <w:szCs w:val="20"/>
              </w:rPr>
              <w:t xml:space="preserve"> </w:t>
            </w:r>
            <w:r w:rsidRPr="00C40F4B">
              <w:rPr>
                <w:rFonts w:cstheme="minorHAnsi"/>
                <w:sz w:val="20"/>
                <w:szCs w:val="20"/>
              </w:rPr>
              <w:t xml:space="preserve">1340/T2, </w:t>
            </w:r>
          </w:p>
          <w:p w14:paraId="7C8EB474" w14:textId="77777777" w:rsidR="00C40F4B" w:rsidRPr="00C40F4B" w:rsidRDefault="005D2551" w:rsidP="00C40F4B">
            <w:pPr>
              <w:pStyle w:val="ListeParagraf"/>
              <w:numPr>
                <w:ilvl w:val="0"/>
                <w:numId w:val="8"/>
              </w:numPr>
              <w:rPr>
                <w:rFonts w:cstheme="minorHAnsi"/>
                <w:sz w:val="20"/>
                <w:szCs w:val="20"/>
              </w:rPr>
            </w:pPr>
            <w:r w:rsidRPr="00C40F4B">
              <w:rPr>
                <w:rFonts w:cstheme="minorHAnsi"/>
                <w:sz w:val="20"/>
                <w:szCs w:val="20"/>
              </w:rPr>
              <w:t>TS 213-1 EN</w:t>
            </w:r>
            <w:r w:rsidR="00C40F4B" w:rsidRPr="00C40F4B">
              <w:rPr>
                <w:rFonts w:cstheme="minorHAnsi"/>
                <w:sz w:val="20"/>
                <w:szCs w:val="20"/>
              </w:rPr>
              <w:t xml:space="preserve"> </w:t>
            </w:r>
            <w:r w:rsidRPr="00C40F4B">
              <w:rPr>
                <w:rFonts w:cstheme="minorHAnsi"/>
                <w:sz w:val="20"/>
                <w:szCs w:val="20"/>
              </w:rPr>
              <w:t>13748-1</w:t>
            </w:r>
          </w:p>
          <w:p w14:paraId="6DAF8A26" w14:textId="54E5522F"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213-2 EN</w:t>
            </w:r>
            <w:r w:rsidR="00C40F4B" w:rsidRPr="00C40F4B">
              <w:rPr>
                <w:rFonts w:cstheme="minorHAnsi"/>
                <w:sz w:val="20"/>
                <w:szCs w:val="20"/>
              </w:rPr>
              <w:t xml:space="preserve"> </w:t>
            </w:r>
            <w:r w:rsidRPr="00C40F4B">
              <w:rPr>
                <w:rFonts w:cstheme="minorHAnsi"/>
                <w:sz w:val="20"/>
                <w:szCs w:val="20"/>
              </w:rPr>
              <w:t>13748-2</w:t>
            </w:r>
          </w:p>
        </w:tc>
      </w:tr>
      <w:tr w:rsidR="005D2551" w:rsidRPr="005D2551" w14:paraId="74802926" w14:textId="77777777" w:rsidTr="00EF6188">
        <w:tc>
          <w:tcPr>
            <w:tcW w:w="4531" w:type="dxa"/>
          </w:tcPr>
          <w:p w14:paraId="626C9FC1" w14:textId="77777777" w:rsidR="005D2551" w:rsidRPr="005D2551" w:rsidRDefault="005D2551" w:rsidP="00EF6188">
            <w:pPr>
              <w:pStyle w:val="TableParagraph"/>
              <w:spacing w:before="45"/>
              <w:ind w:left="31"/>
              <w:rPr>
                <w:rFonts w:asciiTheme="minorHAnsi" w:hAnsiTheme="minorHAnsi" w:cstheme="minorHAnsi"/>
                <w:sz w:val="20"/>
                <w:szCs w:val="20"/>
              </w:rPr>
            </w:pPr>
            <w:r w:rsidRPr="005D2551">
              <w:rPr>
                <w:rFonts w:asciiTheme="minorHAnsi" w:hAnsiTheme="minorHAnsi" w:cstheme="minorHAnsi"/>
                <w:sz w:val="20"/>
                <w:szCs w:val="20"/>
              </w:rPr>
              <w:t>Agregalar</w:t>
            </w:r>
            <w:r w:rsidRPr="005D2551">
              <w:rPr>
                <w:rFonts w:asciiTheme="minorHAnsi" w:hAnsiTheme="minorHAnsi" w:cstheme="minorHAnsi"/>
                <w:spacing w:val="-3"/>
                <w:sz w:val="20"/>
                <w:szCs w:val="20"/>
              </w:rPr>
              <w:t xml:space="preserve"> </w:t>
            </w:r>
            <w:r w:rsidRPr="005D2551">
              <w:rPr>
                <w:rFonts w:asciiTheme="minorHAnsi" w:hAnsiTheme="minorHAnsi" w:cstheme="minorHAnsi"/>
                <w:sz w:val="20"/>
                <w:szCs w:val="20"/>
              </w:rPr>
              <w:t>ve</w:t>
            </w:r>
            <w:r w:rsidRPr="005D2551">
              <w:rPr>
                <w:rFonts w:asciiTheme="minorHAnsi" w:hAnsiTheme="minorHAnsi" w:cstheme="minorHAnsi"/>
                <w:spacing w:val="-3"/>
                <w:sz w:val="20"/>
                <w:szCs w:val="20"/>
              </w:rPr>
              <w:t xml:space="preserve"> </w:t>
            </w:r>
            <w:r w:rsidRPr="005D2551">
              <w:rPr>
                <w:rFonts w:asciiTheme="minorHAnsi" w:hAnsiTheme="minorHAnsi" w:cstheme="minorHAnsi"/>
                <w:sz w:val="20"/>
                <w:szCs w:val="20"/>
              </w:rPr>
              <w:t>Doğal</w:t>
            </w:r>
            <w:r w:rsidRPr="005D2551">
              <w:rPr>
                <w:rFonts w:asciiTheme="minorHAnsi" w:hAnsiTheme="minorHAnsi" w:cstheme="minorHAnsi"/>
                <w:spacing w:val="-2"/>
                <w:sz w:val="20"/>
                <w:szCs w:val="20"/>
              </w:rPr>
              <w:t xml:space="preserve"> </w:t>
            </w:r>
            <w:r w:rsidRPr="005D2551">
              <w:rPr>
                <w:rFonts w:asciiTheme="minorHAnsi" w:hAnsiTheme="minorHAnsi" w:cstheme="minorHAnsi"/>
                <w:sz w:val="20"/>
                <w:szCs w:val="20"/>
              </w:rPr>
              <w:t>Taşlar</w:t>
            </w:r>
          </w:p>
        </w:tc>
        <w:tc>
          <w:tcPr>
            <w:tcW w:w="4531" w:type="dxa"/>
          </w:tcPr>
          <w:p w14:paraId="7C399743" w14:textId="77777777"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706 EN 12620</w:t>
            </w:r>
          </w:p>
          <w:p w14:paraId="486CE89D" w14:textId="77777777"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EN 13043</w:t>
            </w:r>
          </w:p>
          <w:p w14:paraId="1524B1DE" w14:textId="77777777"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EN 13055</w:t>
            </w:r>
          </w:p>
          <w:p w14:paraId="3BC85B87" w14:textId="77777777"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2717 EN 13139</w:t>
            </w:r>
          </w:p>
          <w:p w14:paraId="106C27A2" w14:textId="77777777"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EN 13242</w:t>
            </w:r>
          </w:p>
          <w:p w14:paraId="2039204F" w14:textId="77777777"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7043 EN 13450</w:t>
            </w:r>
          </w:p>
          <w:p w14:paraId="4A9941DA" w14:textId="77777777" w:rsidR="005D2551" w:rsidRPr="00C40F4B" w:rsidRDefault="005D2551" w:rsidP="00C40F4B">
            <w:pPr>
              <w:pStyle w:val="ListeParagraf"/>
              <w:numPr>
                <w:ilvl w:val="0"/>
                <w:numId w:val="8"/>
              </w:numPr>
              <w:rPr>
                <w:rFonts w:cstheme="minorHAnsi"/>
                <w:sz w:val="20"/>
                <w:szCs w:val="20"/>
              </w:rPr>
            </w:pPr>
            <w:r w:rsidRPr="00C40F4B">
              <w:rPr>
                <w:rFonts w:cstheme="minorHAnsi"/>
                <w:sz w:val="20"/>
                <w:szCs w:val="20"/>
              </w:rPr>
              <w:t>TS EN 13383-1</w:t>
            </w:r>
          </w:p>
        </w:tc>
      </w:tr>
      <w:tr w:rsidR="005E5CDD" w:rsidRPr="005D2551" w14:paraId="49B7433F" w14:textId="77777777" w:rsidTr="00EF6188">
        <w:tc>
          <w:tcPr>
            <w:tcW w:w="4531" w:type="dxa"/>
          </w:tcPr>
          <w:p w14:paraId="205EFA81" w14:textId="00A84881" w:rsidR="005E5CDD" w:rsidRPr="005D2551" w:rsidRDefault="005E5CDD" w:rsidP="00EF6188">
            <w:pPr>
              <w:pStyle w:val="TableParagraph"/>
              <w:spacing w:before="45"/>
              <w:ind w:left="31"/>
              <w:rPr>
                <w:rFonts w:asciiTheme="minorHAnsi" w:hAnsiTheme="minorHAnsi" w:cstheme="minorHAnsi"/>
                <w:sz w:val="20"/>
                <w:szCs w:val="20"/>
              </w:rPr>
            </w:pPr>
            <w:r>
              <w:rPr>
                <w:rFonts w:asciiTheme="minorHAnsi" w:hAnsiTheme="minorHAnsi" w:cstheme="minorHAnsi"/>
                <w:sz w:val="20"/>
                <w:szCs w:val="20"/>
              </w:rPr>
              <w:t>Kagir Birimler</w:t>
            </w:r>
          </w:p>
        </w:tc>
        <w:tc>
          <w:tcPr>
            <w:tcW w:w="4531" w:type="dxa"/>
          </w:tcPr>
          <w:p w14:paraId="7A8884BB" w14:textId="77777777" w:rsidR="005E5CDD" w:rsidRPr="005E5CDD" w:rsidRDefault="005E5CDD" w:rsidP="005E5CDD">
            <w:pPr>
              <w:pStyle w:val="ListeParagraf"/>
              <w:numPr>
                <w:ilvl w:val="0"/>
                <w:numId w:val="12"/>
              </w:numPr>
              <w:rPr>
                <w:highlight w:val="yellow"/>
              </w:rPr>
            </w:pPr>
            <w:r w:rsidRPr="005E5CDD">
              <w:rPr>
                <w:highlight w:val="yellow"/>
              </w:rPr>
              <w:t>TS EN 771-1 +A1</w:t>
            </w:r>
          </w:p>
          <w:p w14:paraId="6259024D" w14:textId="77777777" w:rsidR="005E5CDD" w:rsidRPr="005E5CDD" w:rsidRDefault="005E5CDD" w:rsidP="005E5CDD">
            <w:pPr>
              <w:pStyle w:val="ListeParagraf"/>
              <w:numPr>
                <w:ilvl w:val="0"/>
                <w:numId w:val="12"/>
              </w:numPr>
              <w:rPr>
                <w:highlight w:val="yellow"/>
              </w:rPr>
            </w:pPr>
            <w:r w:rsidRPr="005E5CDD">
              <w:rPr>
                <w:highlight w:val="yellow"/>
              </w:rPr>
              <w:t>TS EN 771-2 +A1</w:t>
            </w:r>
          </w:p>
          <w:p w14:paraId="0BBA344B" w14:textId="77777777" w:rsidR="005E5CDD" w:rsidRPr="005E5CDD" w:rsidRDefault="005E5CDD" w:rsidP="005E5CDD">
            <w:pPr>
              <w:pStyle w:val="ListeParagraf"/>
              <w:numPr>
                <w:ilvl w:val="0"/>
                <w:numId w:val="12"/>
              </w:numPr>
              <w:rPr>
                <w:highlight w:val="yellow"/>
              </w:rPr>
            </w:pPr>
            <w:r w:rsidRPr="005E5CDD">
              <w:rPr>
                <w:highlight w:val="yellow"/>
              </w:rPr>
              <w:t>TS EN 771-3 +A1</w:t>
            </w:r>
          </w:p>
          <w:p w14:paraId="0174DF71" w14:textId="77777777" w:rsidR="005E5CDD" w:rsidRPr="005E5CDD" w:rsidRDefault="005E5CDD" w:rsidP="005E5CDD">
            <w:pPr>
              <w:pStyle w:val="ListeParagraf"/>
              <w:numPr>
                <w:ilvl w:val="0"/>
                <w:numId w:val="12"/>
              </w:numPr>
              <w:rPr>
                <w:highlight w:val="yellow"/>
              </w:rPr>
            </w:pPr>
            <w:r w:rsidRPr="005E5CDD">
              <w:rPr>
                <w:highlight w:val="yellow"/>
              </w:rPr>
              <w:t>TS EN 771-4 +A1</w:t>
            </w:r>
          </w:p>
          <w:p w14:paraId="7BAC9C62" w14:textId="77777777" w:rsidR="005E5CDD" w:rsidRPr="005E5CDD" w:rsidRDefault="005E5CDD" w:rsidP="005E5CDD">
            <w:pPr>
              <w:pStyle w:val="ListeParagraf"/>
              <w:numPr>
                <w:ilvl w:val="0"/>
                <w:numId w:val="12"/>
              </w:numPr>
              <w:rPr>
                <w:highlight w:val="yellow"/>
              </w:rPr>
            </w:pPr>
            <w:r w:rsidRPr="005E5CDD">
              <w:rPr>
                <w:highlight w:val="yellow"/>
              </w:rPr>
              <w:t>TS EN 771-5 +A1</w:t>
            </w:r>
          </w:p>
          <w:p w14:paraId="76BCF2B0" w14:textId="34A1451E" w:rsidR="005E5CDD" w:rsidRPr="005E5CDD" w:rsidRDefault="005E5CDD" w:rsidP="005E5CDD">
            <w:pPr>
              <w:pStyle w:val="ListeParagraf"/>
              <w:numPr>
                <w:ilvl w:val="0"/>
                <w:numId w:val="12"/>
              </w:numPr>
              <w:rPr>
                <w:highlight w:val="yellow"/>
              </w:rPr>
            </w:pPr>
            <w:r w:rsidRPr="005E5CDD">
              <w:rPr>
                <w:highlight w:val="yellow"/>
              </w:rPr>
              <w:t>TS EN 771-6 +A1</w:t>
            </w:r>
          </w:p>
        </w:tc>
      </w:tr>
    </w:tbl>
    <w:p w14:paraId="26CFF90A" w14:textId="77777777" w:rsidR="00DC4889" w:rsidRDefault="00DC4889" w:rsidP="00DC4889"/>
    <w:p w14:paraId="096C9768" w14:textId="01EFD31B" w:rsidR="00DC4889" w:rsidRDefault="00DC4889" w:rsidP="00DC4889">
      <w:pPr>
        <w:pStyle w:val="Balk1"/>
        <w:numPr>
          <w:ilvl w:val="0"/>
          <w:numId w:val="3"/>
        </w:numPr>
      </w:pPr>
      <w:r>
        <w:t>SORUMLULAR</w:t>
      </w:r>
    </w:p>
    <w:p w14:paraId="6AC0B10A" w14:textId="32938B0B" w:rsidR="00DC4889" w:rsidRDefault="00DC4889" w:rsidP="00DC4889">
      <w:r>
        <w:t>Bu Dokümanın uygulanmasından Ürün Belgelendirme Yöneticisi ve denetçiler sorumludur.</w:t>
      </w:r>
    </w:p>
    <w:p w14:paraId="6F66020A" w14:textId="628C318A" w:rsidR="00DC4889" w:rsidRDefault="00DC4889" w:rsidP="00DC4889">
      <w:pPr>
        <w:pStyle w:val="Balk1"/>
        <w:numPr>
          <w:ilvl w:val="0"/>
          <w:numId w:val="3"/>
        </w:numPr>
      </w:pPr>
      <w:r>
        <w:t>ŞARTLAR</w:t>
      </w:r>
    </w:p>
    <w:p w14:paraId="4068A53F" w14:textId="5D518615" w:rsidR="00D91C02" w:rsidRDefault="00D91C02" w:rsidP="00DC4889">
      <w:pPr>
        <w:pStyle w:val="Balk2"/>
        <w:numPr>
          <w:ilvl w:val="1"/>
          <w:numId w:val="3"/>
        </w:numPr>
      </w:pPr>
      <w:r>
        <w:t>Genel</w:t>
      </w:r>
    </w:p>
    <w:p w14:paraId="39F7B51F" w14:textId="62DE5B8D" w:rsidR="00D91C02" w:rsidRDefault="00D91C02" w:rsidP="00D91C02">
      <w:r>
        <w:t>Bu doküman çerçevesinde düzenlenen uygunluk belgeleri:</w:t>
      </w:r>
    </w:p>
    <w:p w14:paraId="31A44B85" w14:textId="61003391" w:rsidR="00D91C02" w:rsidRDefault="00D91C02" w:rsidP="00D91C02">
      <w:pPr>
        <w:pStyle w:val="ListeParagraf"/>
        <w:numPr>
          <w:ilvl w:val="0"/>
          <w:numId w:val="7"/>
        </w:numPr>
      </w:pPr>
      <w:r>
        <w:t>Belge sahibi</w:t>
      </w:r>
    </w:p>
    <w:p w14:paraId="75465F50" w14:textId="40B6823F" w:rsidR="00D91C02" w:rsidRDefault="00D91C02" w:rsidP="00D91C02">
      <w:pPr>
        <w:pStyle w:val="ListeParagraf"/>
        <w:numPr>
          <w:ilvl w:val="0"/>
          <w:numId w:val="7"/>
        </w:numPr>
      </w:pPr>
      <w:r>
        <w:t>Üretim yeri adresi</w:t>
      </w:r>
    </w:p>
    <w:p w14:paraId="495BE995" w14:textId="7DB455DE" w:rsidR="00D91C02" w:rsidRDefault="00D91C02" w:rsidP="00D91C02">
      <w:pPr>
        <w:pStyle w:val="ListeParagraf"/>
        <w:numPr>
          <w:ilvl w:val="0"/>
          <w:numId w:val="7"/>
        </w:numPr>
      </w:pPr>
      <w:r>
        <w:t>Referans ürün standardı</w:t>
      </w:r>
    </w:p>
    <w:p w14:paraId="1818BD35" w14:textId="6BF4F6A8" w:rsidR="00D91C02" w:rsidRDefault="00D91C02" w:rsidP="00D91C02">
      <w:r>
        <w:lastRenderedPageBreak/>
        <w:t>Çerçevesinde düzenlenir.</w:t>
      </w:r>
      <w:r w:rsidR="00AA13A8">
        <w:t xml:space="preserve"> Belge kapsamında, ürünün varsa tip, tür, sınıf bilgisi ve değerlendirilen modeller eklenir.</w:t>
      </w:r>
    </w:p>
    <w:p w14:paraId="42113FBA" w14:textId="2E7E2FAC" w:rsidR="00D91C02" w:rsidRDefault="00D91C02" w:rsidP="00D91C02">
      <w:r>
        <w:t>Kapsamda yer alan ürünlerin belgelendirilmesi ve belgenin sürdürülmesi için, EUROGAP aşağıda özetlenen faaliyetleri gerçekleştirir:</w:t>
      </w:r>
    </w:p>
    <w:tbl>
      <w:tblPr>
        <w:tblStyle w:val="TabloKlavuzu"/>
        <w:tblW w:w="0" w:type="auto"/>
        <w:jc w:val="center"/>
        <w:tblLook w:val="04A0" w:firstRow="1" w:lastRow="0" w:firstColumn="1" w:lastColumn="0" w:noHBand="0" w:noVBand="1"/>
      </w:tblPr>
      <w:tblGrid>
        <w:gridCol w:w="3103"/>
        <w:gridCol w:w="5239"/>
      </w:tblGrid>
      <w:tr w:rsidR="00AA13A8" w:rsidRPr="00D91C02" w14:paraId="1ED41214" w14:textId="77777777" w:rsidTr="00AA13A8">
        <w:trPr>
          <w:jc w:val="center"/>
        </w:trPr>
        <w:tc>
          <w:tcPr>
            <w:tcW w:w="3103" w:type="dxa"/>
            <w:vMerge w:val="restart"/>
          </w:tcPr>
          <w:p w14:paraId="6A74B3D7" w14:textId="10A1082B" w:rsidR="00AA13A8" w:rsidRPr="00D91C02" w:rsidRDefault="00AA13A8" w:rsidP="00AA13A8">
            <w:pPr>
              <w:pStyle w:val="ListeParagraf"/>
            </w:pPr>
            <w:r>
              <w:t>İLK BELGELENDİRME</w:t>
            </w:r>
          </w:p>
        </w:tc>
        <w:tc>
          <w:tcPr>
            <w:tcW w:w="5239" w:type="dxa"/>
          </w:tcPr>
          <w:p w14:paraId="6E5DC824" w14:textId="46979675" w:rsidR="00AA13A8" w:rsidRPr="00D91C02" w:rsidRDefault="00AA13A8" w:rsidP="00AC1A13">
            <w:pPr>
              <w:pStyle w:val="ListeParagraf"/>
              <w:numPr>
                <w:ilvl w:val="0"/>
                <w:numId w:val="6"/>
              </w:numPr>
            </w:pPr>
            <w:r w:rsidRPr="00D91C02">
              <w:t xml:space="preserve">Üretim yerinin </w:t>
            </w:r>
            <w:r w:rsidR="00936347">
              <w:t xml:space="preserve">ilk </w:t>
            </w:r>
            <w:r w:rsidRPr="00D91C02">
              <w:t>incelenmesi</w:t>
            </w:r>
          </w:p>
        </w:tc>
      </w:tr>
      <w:tr w:rsidR="00AA13A8" w:rsidRPr="00D91C02" w14:paraId="7A767B46" w14:textId="77777777" w:rsidTr="00AA13A8">
        <w:trPr>
          <w:jc w:val="center"/>
        </w:trPr>
        <w:tc>
          <w:tcPr>
            <w:tcW w:w="3103" w:type="dxa"/>
            <w:vMerge/>
          </w:tcPr>
          <w:p w14:paraId="7BABEAB9" w14:textId="77777777" w:rsidR="00AA13A8" w:rsidRPr="00D91C02" w:rsidRDefault="00AA13A8" w:rsidP="00AC1A13">
            <w:pPr>
              <w:pStyle w:val="ListeParagraf"/>
              <w:numPr>
                <w:ilvl w:val="0"/>
                <w:numId w:val="6"/>
              </w:numPr>
            </w:pPr>
          </w:p>
        </w:tc>
        <w:tc>
          <w:tcPr>
            <w:tcW w:w="5239" w:type="dxa"/>
          </w:tcPr>
          <w:p w14:paraId="48C64CA0" w14:textId="70F2075B" w:rsidR="00AA13A8" w:rsidRPr="00D91C02" w:rsidRDefault="005D2551" w:rsidP="00AC1A13">
            <w:pPr>
              <w:pStyle w:val="ListeParagraf"/>
              <w:numPr>
                <w:ilvl w:val="0"/>
                <w:numId w:val="6"/>
              </w:numPr>
            </w:pPr>
            <w:r>
              <w:t>Ürünün üretim yerinde veya alınan numuneler üzerinde özelliklerinin ilgili standarda göre test edilmesi</w:t>
            </w:r>
          </w:p>
        </w:tc>
      </w:tr>
      <w:tr w:rsidR="00936347" w:rsidRPr="00D91C02" w14:paraId="3B978AF6" w14:textId="77777777" w:rsidTr="00AA13A8">
        <w:trPr>
          <w:jc w:val="center"/>
        </w:trPr>
        <w:tc>
          <w:tcPr>
            <w:tcW w:w="3103" w:type="dxa"/>
            <w:vMerge w:val="restart"/>
          </w:tcPr>
          <w:p w14:paraId="0CA6B775" w14:textId="0E20A770" w:rsidR="00936347" w:rsidRPr="00D91C02" w:rsidRDefault="00936347" w:rsidP="00AA13A8">
            <w:pPr>
              <w:pStyle w:val="ListeParagraf"/>
            </w:pPr>
            <w:r>
              <w:t>BELGENİN GÖZETİMİ</w:t>
            </w:r>
          </w:p>
        </w:tc>
        <w:tc>
          <w:tcPr>
            <w:tcW w:w="5239" w:type="dxa"/>
          </w:tcPr>
          <w:p w14:paraId="109191EA" w14:textId="61472CF4" w:rsidR="00936347" w:rsidRPr="00D91C02" w:rsidRDefault="00936347" w:rsidP="00AC1A13">
            <w:pPr>
              <w:pStyle w:val="ListeParagraf"/>
              <w:numPr>
                <w:ilvl w:val="0"/>
                <w:numId w:val="6"/>
              </w:numPr>
            </w:pPr>
            <w:r w:rsidRPr="00D91C02">
              <w:t>Üretim yerinin sürekli gözetimi</w:t>
            </w:r>
            <w:r>
              <w:t xml:space="preserve"> (yılda 1)</w:t>
            </w:r>
          </w:p>
        </w:tc>
      </w:tr>
      <w:tr w:rsidR="00936347" w:rsidRPr="00D91C02" w14:paraId="7B8DD60E" w14:textId="77777777" w:rsidTr="00AA13A8">
        <w:trPr>
          <w:jc w:val="center"/>
        </w:trPr>
        <w:tc>
          <w:tcPr>
            <w:tcW w:w="3103" w:type="dxa"/>
            <w:vMerge/>
          </w:tcPr>
          <w:p w14:paraId="0182CF3E" w14:textId="77777777" w:rsidR="00936347" w:rsidRPr="00D91C02" w:rsidRDefault="00936347" w:rsidP="00936347">
            <w:pPr>
              <w:pStyle w:val="ListeParagraf"/>
              <w:numPr>
                <w:ilvl w:val="0"/>
                <w:numId w:val="6"/>
              </w:numPr>
            </w:pPr>
          </w:p>
        </w:tc>
        <w:tc>
          <w:tcPr>
            <w:tcW w:w="5239" w:type="dxa"/>
          </w:tcPr>
          <w:p w14:paraId="3FBAC7C0" w14:textId="4167A62F" w:rsidR="00936347" w:rsidRPr="00D91C02" w:rsidRDefault="005D2551" w:rsidP="00936347">
            <w:pPr>
              <w:pStyle w:val="ListeParagraf"/>
              <w:numPr>
                <w:ilvl w:val="0"/>
                <w:numId w:val="6"/>
              </w:numPr>
            </w:pPr>
            <w:r>
              <w:t>Ürünün üretim yerinde veya alınan numuneler üzerinde ürün özelliklerinin ilgili standarda göre test edilmesi (ekte yer alan tablolara göre)</w:t>
            </w:r>
          </w:p>
        </w:tc>
      </w:tr>
    </w:tbl>
    <w:p w14:paraId="038986D8" w14:textId="77777777" w:rsidR="00D91C02" w:rsidRDefault="00D91C02" w:rsidP="00C40F4B"/>
    <w:p w14:paraId="0DB51764" w14:textId="774F1A03" w:rsidR="00C40F4B" w:rsidRDefault="00C40F4B" w:rsidP="00C40F4B">
      <w:r>
        <w:t xml:space="preserve">Hazır beton için, </w:t>
      </w:r>
      <w:r w:rsidRPr="00C40F4B">
        <w:t>PR</w:t>
      </w:r>
      <w:r>
        <w:t>.</w:t>
      </w:r>
      <w:r w:rsidRPr="00C40F4B">
        <w:t>ÜB</w:t>
      </w:r>
      <w:r>
        <w:t>.</w:t>
      </w:r>
      <w:r w:rsidRPr="00C40F4B">
        <w:t>03 G İşaretlemesi İçin Hazır Beton Uygunluk Değerlendirme Prosedürü</w:t>
      </w:r>
      <w:r>
        <w:t>nün Madde 4.4., 4.5 ve 4.8’i uygulanır.</w:t>
      </w:r>
    </w:p>
    <w:p w14:paraId="63137ED0" w14:textId="062B264A" w:rsidR="00DC4889" w:rsidRDefault="00DC4889" w:rsidP="00DC4889">
      <w:pPr>
        <w:pStyle w:val="Balk2"/>
        <w:numPr>
          <w:ilvl w:val="1"/>
          <w:numId w:val="3"/>
        </w:numPr>
      </w:pPr>
      <w:r>
        <w:t>Başvuru aşamasında üretici tarafından karşılanması gereken şartlar</w:t>
      </w:r>
    </w:p>
    <w:p w14:paraId="519C1964" w14:textId="0FD0F42A" w:rsidR="00DC4889" w:rsidRDefault="00DC4889" w:rsidP="00DC4889">
      <w:r>
        <w:t>Başvuru aşamasında üretici, EUROGAP tarafından belgelendirme prosedüründe talep edilen dokümanların yanı sıra aşağıdaki dokümanları da sağlamalıdır:</w:t>
      </w:r>
    </w:p>
    <w:p w14:paraId="65985D12" w14:textId="7C980D7F" w:rsidR="00DC4889" w:rsidRPr="005D2551" w:rsidRDefault="005D2551" w:rsidP="00DC4889">
      <w:pPr>
        <w:pStyle w:val="ListeParagraf"/>
        <w:numPr>
          <w:ilvl w:val="0"/>
          <w:numId w:val="4"/>
        </w:numPr>
      </w:pPr>
      <w:r>
        <w:rPr>
          <w:rFonts w:cstheme="minorHAnsi"/>
        </w:rPr>
        <w:t>İmalat Kontrol Sistemi Dokümantasyonu</w:t>
      </w:r>
    </w:p>
    <w:p w14:paraId="7D8F07DE" w14:textId="2E22090E" w:rsidR="005D2551" w:rsidRDefault="005D2551" w:rsidP="00DC4889">
      <w:pPr>
        <w:pStyle w:val="ListeParagraf"/>
        <w:numPr>
          <w:ilvl w:val="0"/>
          <w:numId w:val="4"/>
        </w:numPr>
      </w:pPr>
      <w:r>
        <w:rPr>
          <w:rFonts w:cstheme="minorHAnsi"/>
        </w:rPr>
        <w:t>Ürünün özellikleri</w:t>
      </w:r>
    </w:p>
    <w:p w14:paraId="30227235" w14:textId="04E8727F" w:rsidR="00DC4889" w:rsidRDefault="00DC4889" w:rsidP="00DC4889">
      <w:pPr>
        <w:pStyle w:val="Balk2"/>
        <w:numPr>
          <w:ilvl w:val="1"/>
          <w:numId w:val="3"/>
        </w:numPr>
      </w:pPr>
      <w:r>
        <w:t xml:space="preserve">Üretim </w:t>
      </w:r>
      <w:r w:rsidR="00D91C02">
        <w:t>yeri incelemesine ilişkin hususlar</w:t>
      </w:r>
    </w:p>
    <w:p w14:paraId="06C587DC" w14:textId="77777777" w:rsidR="00D91C02" w:rsidRDefault="00D91C02" w:rsidP="00D91C02">
      <w:r>
        <w:t>Üreticinin kalite kontrol imkanlarının ve dokümantasyonunun değerlendirilmesi aşamasında EUROGAP tarafından aşağıdaki hususlar asgari olarak beklenmektedir:</w:t>
      </w:r>
    </w:p>
    <w:p w14:paraId="21C5CDFF" w14:textId="68A4851F" w:rsidR="00D91C02" w:rsidRDefault="00D91C02" w:rsidP="00D91C02">
      <w:pPr>
        <w:pStyle w:val="ListeParagraf"/>
        <w:numPr>
          <w:ilvl w:val="0"/>
          <w:numId w:val="4"/>
        </w:numPr>
      </w:pPr>
      <w:r>
        <w:t>Ürün kalitesini etkileyen anahtar personelin görev tanımları, yeterlilik şartları, sorumlulukları</w:t>
      </w:r>
    </w:p>
    <w:p w14:paraId="3C7C65E3" w14:textId="3B0A6929" w:rsidR="00D91C02" w:rsidRDefault="00D91C02" w:rsidP="00D91C02">
      <w:pPr>
        <w:pStyle w:val="ListeParagraf"/>
        <w:numPr>
          <w:ilvl w:val="0"/>
          <w:numId w:val="4"/>
        </w:numPr>
      </w:pPr>
      <w:r>
        <w:t>Üretim prosesini tarif eden dokümantasyon</w:t>
      </w:r>
    </w:p>
    <w:p w14:paraId="0B5D7C6D" w14:textId="441A60BD" w:rsidR="00D91C02" w:rsidRDefault="00D91C02" w:rsidP="00D91C02">
      <w:pPr>
        <w:pStyle w:val="ListeParagraf"/>
        <w:numPr>
          <w:ilvl w:val="0"/>
          <w:numId w:val="4"/>
        </w:numPr>
      </w:pPr>
      <w:r>
        <w:t>Girdi malzemeleri, üretim kontrollerini, nihai ürün kontrollerini içeren bir kalite planı ve bu plana uygun kontrol kayıtları</w:t>
      </w:r>
    </w:p>
    <w:p w14:paraId="1C7B159A" w14:textId="45160175" w:rsidR="00D91C02" w:rsidRDefault="00D91C02" w:rsidP="00D91C02">
      <w:pPr>
        <w:pStyle w:val="ListeParagraf"/>
        <w:numPr>
          <w:ilvl w:val="0"/>
          <w:numId w:val="4"/>
        </w:numPr>
      </w:pPr>
      <w:r>
        <w:t>İzlenebilirliğin sağlanması ve izlenebilirliği tarif eden dokümantasyon</w:t>
      </w:r>
    </w:p>
    <w:p w14:paraId="38F86AAB" w14:textId="12655349" w:rsidR="00D91C02" w:rsidRDefault="00D91C02" w:rsidP="00D91C02">
      <w:pPr>
        <w:pStyle w:val="ListeParagraf"/>
        <w:numPr>
          <w:ilvl w:val="0"/>
          <w:numId w:val="4"/>
        </w:numPr>
      </w:pPr>
      <w:r>
        <w:t>Uygun olmayan ürünün tespitine ve tespit edildiğinde yapılacak faaliyetleri açıklayan dokümantasyon</w:t>
      </w:r>
    </w:p>
    <w:p w14:paraId="2D210507" w14:textId="4CD53DF0" w:rsidR="00D91C02" w:rsidRDefault="00D91C02" w:rsidP="00D91C02">
      <w:pPr>
        <w:pStyle w:val="ListeParagraf"/>
        <w:numPr>
          <w:ilvl w:val="0"/>
          <w:numId w:val="4"/>
        </w:numPr>
      </w:pPr>
      <w:r>
        <w:t>İzleme ve ölçme ekipmanlarının ve cihazlarının uygunluğunun kontrolüne ve kalibrasyonuna ilişkin dokümantasyon</w:t>
      </w:r>
    </w:p>
    <w:p w14:paraId="66CAAE63" w14:textId="516C25F3" w:rsidR="00D91C02" w:rsidRDefault="00D91C02" w:rsidP="00D91C02">
      <w:pPr>
        <w:pStyle w:val="ListeParagraf"/>
        <w:numPr>
          <w:ilvl w:val="0"/>
          <w:numId w:val="4"/>
        </w:numPr>
      </w:pPr>
      <w:r>
        <w:t>Üretim ekipmanının uygunluğunun kontrolüne ilişkin dokümantasyon</w:t>
      </w:r>
    </w:p>
    <w:p w14:paraId="08910BCC" w14:textId="60DF0063" w:rsidR="00D91C02" w:rsidRDefault="00D91C02" w:rsidP="00D91C02">
      <w:pPr>
        <w:pStyle w:val="ListeParagraf"/>
        <w:numPr>
          <w:ilvl w:val="0"/>
          <w:numId w:val="4"/>
        </w:numPr>
      </w:pPr>
      <w:r>
        <w:t>Tüm dokümantasyon sisteminin izlenebilir bir şekilde yönetilebilmesi ve sistemin işlerliğinin kontrol edilebilmesi ve iyileştirilebilmesine ilişkin yöntem ve dokümantasyon</w:t>
      </w:r>
    </w:p>
    <w:p w14:paraId="092186DD" w14:textId="0FDC05CD" w:rsidR="002A02C5" w:rsidRDefault="00D91C02" w:rsidP="002A02C5">
      <w:r>
        <w:t>Bu imalat kontrol sisteminin çalıştığını gösterir kayıtlar, denetimlerde EUROGAP denetçileri tarafından irdelenecektir.</w:t>
      </w:r>
      <w:r w:rsidR="002A02C5">
        <w:t xml:space="preserve"> Standardın ek şartlar içermesi durumunda, </w:t>
      </w:r>
      <w:r w:rsidR="00123AD1">
        <w:t xml:space="preserve">nu kontrol listesi doldurulurken standardın şartları dikkate alınır </w:t>
      </w:r>
      <w:r w:rsidR="002A02C5">
        <w:t>(</w:t>
      </w:r>
      <w:proofErr w:type="spellStart"/>
      <w:r w:rsidR="002A02C5">
        <w:t>Bknz</w:t>
      </w:r>
      <w:proofErr w:type="spellEnd"/>
      <w:r w:rsidR="002A02C5">
        <w:t>. Ek tablolar).</w:t>
      </w:r>
    </w:p>
    <w:p w14:paraId="0AA8F7A9" w14:textId="5502272C" w:rsidR="00D91C02" w:rsidRDefault="00D91C02" w:rsidP="00D91C02">
      <w:r w:rsidRPr="00D91C02">
        <w:t xml:space="preserve">Üretim yeri değişikliği durumunda kuruluşun yeni üretim yeri mutlaka incelenecektir. Yeni Üretim yerinde yapılan incelemede İmalat Kontrol Sisteminin yeterliliği sağladığının tespiti halinde, kuruluşun belgesi ve diğer evrakları yeni </w:t>
      </w:r>
      <w:r w:rsidR="0053248D">
        <w:t>ü</w:t>
      </w:r>
      <w:r w:rsidRPr="00D91C02">
        <w:t>retim yeri adresine göre düzenlenecektir.</w:t>
      </w:r>
    </w:p>
    <w:p w14:paraId="3752D77F" w14:textId="45A6BDA2" w:rsidR="005D2551" w:rsidRDefault="005D2551" w:rsidP="00D91C02">
      <w:r>
        <w:lastRenderedPageBreak/>
        <w:t>Kapsam genişletme talebi olması durumunda, üretim yeri tekrar incelenerek, talep edilen kapsama ilişkin standartta talep edilen özelliklerin testi için numune alınarak test edilir.</w:t>
      </w:r>
    </w:p>
    <w:p w14:paraId="796247D9" w14:textId="67502882" w:rsidR="00D91C02" w:rsidRDefault="00D91C02" w:rsidP="00D91C02">
      <w:r>
        <w:t>EUROGAP, üretim yerinin gözetim incelemesini her 12 ayda 1 bir gerçekleştirir. Üretim yeri incelemesinden önce, müşteri denetim planı ile bilgilendirilir.</w:t>
      </w:r>
    </w:p>
    <w:p w14:paraId="6B39096A" w14:textId="3739A962" w:rsidR="00D91C02" w:rsidRDefault="0053248D" w:rsidP="0053248D">
      <w:pPr>
        <w:pStyle w:val="Balk2"/>
        <w:numPr>
          <w:ilvl w:val="1"/>
          <w:numId w:val="3"/>
        </w:numPr>
      </w:pPr>
      <w:r>
        <w:t>Numune Alma ve Muayene ve Deneyler</w:t>
      </w:r>
    </w:p>
    <w:p w14:paraId="28E4F184" w14:textId="7444AA64" w:rsidR="00936347" w:rsidRDefault="00936347" w:rsidP="00936347">
      <w:pPr>
        <w:pStyle w:val="Balk3"/>
        <w:numPr>
          <w:ilvl w:val="2"/>
          <w:numId w:val="3"/>
        </w:numPr>
      </w:pPr>
      <w:r>
        <w:t>İlk belgelendirme</w:t>
      </w:r>
    </w:p>
    <w:p w14:paraId="6D4D914C" w14:textId="77777777" w:rsidR="005D2551" w:rsidRDefault="005D2551" w:rsidP="005D2551">
      <w:r>
        <w:t xml:space="preserve">İlk belgelendirmede, ilgili standartta uygulanabilen tüm özellikler test edilir. Ürünlerin taşınabilir mahiyette olması durumunda bu testler EUROGAP laboratuvarınca veya EUROGAP taşeron laboratuvarlarında gerçekleştirilir. </w:t>
      </w:r>
    </w:p>
    <w:p w14:paraId="7FBBF94B" w14:textId="77777777" w:rsidR="005D2551" w:rsidRDefault="005D2551" w:rsidP="005D2551">
      <w:r>
        <w:t>Belgelenecek ürünlerin taşınamaz olması durumunda, muayene ve testler, üretici tesislerinde gerçekleştirilir. Üretici tesislerinde testlerin gerçekleştirilebilmesi için:</w:t>
      </w:r>
    </w:p>
    <w:p w14:paraId="13D5AADB" w14:textId="77777777" w:rsidR="005D2551" w:rsidRDefault="005D2551" w:rsidP="005D2551">
      <w:pPr>
        <w:pStyle w:val="ListeParagraf"/>
        <w:numPr>
          <w:ilvl w:val="0"/>
          <w:numId w:val="4"/>
        </w:numPr>
      </w:pPr>
      <w:r>
        <w:t>Üreticinin muayene ve deney ekipmanının ilgili standarda uygun olması</w:t>
      </w:r>
    </w:p>
    <w:p w14:paraId="66CD3115" w14:textId="64003F99" w:rsidR="005D2551" w:rsidRDefault="005D2551" w:rsidP="005D2551">
      <w:pPr>
        <w:pStyle w:val="ListeParagraf"/>
        <w:numPr>
          <w:ilvl w:val="0"/>
          <w:numId w:val="4"/>
        </w:numPr>
      </w:pPr>
      <w:r>
        <w:t>Ekipmanların doğru bir şekilde kalibre edilmiş olması ve ekipmanın belirsizlik ve sapma miktarının deneye uygun olması</w:t>
      </w:r>
    </w:p>
    <w:p w14:paraId="7F4E69DF" w14:textId="5A39CB24" w:rsidR="005D2551" w:rsidRDefault="005D2551" w:rsidP="005D2551">
      <w:pPr>
        <w:pStyle w:val="ListeParagraf"/>
        <w:numPr>
          <w:ilvl w:val="0"/>
          <w:numId w:val="4"/>
        </w:numPr>
      </w:pPr>
      <w:r>
        <w:t>Numunelerin şartlandırılabileceği, muhafaza edilebileceği imkanların mevcut olması</w:t>
      </w:r>
    </w:p>
    <w:p w14:paraId="21AABF59" w14:textId="1F8D3599" w:rsidR="005D2551" w:rsidRDefault="005D2551" w:rsidP="005D2551">
      <w:pPr>
        <w:pStyle w:val="ListeParagraf"/>
        <w:numPr>
          <w:ilvl w:val="0"/>
          <w:numId w:val="4"/>
        </w:numPr>
      </w:pPr>
      <w:r>
        <w:t>Tesisin test metotları konusunda bilgili personelinin mevcut olması gerekmektedir.</w:t>
      </w:r>
    </w:p>
    <w:p w14:paraId="25B0B0BE" w14:textId="1F864F1B" w:rsidR="005D2551" w:rsidRDefault="005D2551" w:rsidP="005D2551">
      <w:r>
        <w:t>Yukarıdaki şartların tamamının karşılanamaması halinde belgelendirme prosesi yürütülemez ve tesisin hazı</w:t>
      </w:r>
      <w:r w:rsidR="002A02C5">
        <w:t>r olması beklenir.</w:t>
      </w:r>
    </w:p>
    <w:p w14:paraId="61D073EF" w14:textId="71713FB7" w:rsidR="005D2551" w:rsidRDefault="005D2551" w:rsidP="005D2551">
      <w:r>
        <w:t>Testlerin üretici testlerinde gerçekleştirilmesi durumunda, EUROGAP denetim personeli, gerçekleştirilen testlere refakat eder ve sonuçlarını Muayene ve Deney Tutanağı ile kayıt altına alır. Tutanak, denetim personeli ve üretici yetkilisi tarafından testlerin başlangıç ve bitiş tarihleri belirtilerek imzalanır.</w:t>
      </w:r>
    </w:p>
    <w:p w14:paraId="3557D590" w14:textId="7C4A7098" w:rsidR="0053248D" w:rsidRDefault="00062AF9" w:rsidP="0053248D">
      <w:r>
        <w:t xml:space="preserve">Ürünün belgelendirilebilmesi için, ilgili standartların tüm şartlarının karşılandığının tespiti gerekmektedir. Uygunsuzluk bulunması durumunda, üreticinin, ürünün uygun hale getirilmesine ilişkin gerçekleştirmiş olduğu faaliyeti </w:t>
      </w:r>
      <w:proofErr w:type="spellStart"/>
      <w:r>
        <w:t>EUROGAP’a</w:t>
      </w:r>
      <w:proofErr w:type="spellEnd"/>
      <w:r>
        <w:t xml:space="preserve"> bildirmesi gerekmekte olup, gerçekleştirilen faaliyetin etkilediği özellikler açısından EUROGAP uygun çıkmayan özelliğe dair muayene ve deneylerin yanı sıra, gerekli gördüğü diğer test ve muayeneleri gerçekleştirir.</w:t>
      </w:r>
    </w:p>
    <w:p w14:paraId="735E002D" w14:textId="03A10680" w:rsidR="002A02C5" w:rsidRDefault="002A02C5" w:rsidP="0053248D">
      <w:r>
        <w:t>Ürüne özgü numune tutanağı veya deney talep formu bulunması durumunda, bu formlar kullanılır.</w:t>
      </w:r>
    </w:p>
    <w:p w14:paraId="50318E7D" w14:textId="57F4A408" w:rsidR="00062AF9" w:rsidRDefault="00062AF9" w:rsidP="0053248D">
      <w:r>
        <w:t xml:space="preserve">Başvuru veya değerlendirme aşamasında üretici tarafından numune alınması gereken özelliklere ilişkin daha önceden gerçekleştirilmiş testlere ilişkin raporların </w:t>
      </w:r>
      <w:proofErr w:type="spellStart"/>
      <w:r>
        <w:t>EUROGAP’a</w:t>
      </w:r>
      <w:proofErr w:type="spellEnd"/>
      <w:r>
        <w:t xml:space="preserve"> sunulması durumunda, aşağıdaki şartların sağlanması kaydıyla, EUROGAP test raporlarını değerlendirmeye esas kabul edebilir:</w:t>
      </w:r>
    </w:p>
    <w:p w14:paraId="117BBFCA" w14:textId="2AE96523" w:rsidR="00062AF9" w:rsidRDefault="00062AF9" w:rsidP="00062AF9">
      <w:pPr>
        <w:pStyle w:val="ListeParagraf"/>
        <w:numPr>
          <w:ilvl w:val="0"/>
          <w:numId w:val="4"/>
        </w:numPr>
      </w:pPr>
      <w:r>
        <w:t>Raporun son 12 ay içerisinde düzenlenmiş olması</w:t>
      </w:r>
    </w:p>
    <w:p w14:paraId="77F72DB8" w14:textId="2E7513FE" w:rsidR="00062AF9" w:rsidRDefault="00062AF9" w:rsidP="00062AF9">
      <w:pPr>
        <w:pStyle w:val="ListeParagraf"/>
        <w:numPr>
          <w:ilvl w:val="0"/>
          <w:numId w:val="4"/>
        </w:numPr>
      </w:pPr>
      <w:r>
        <w:t>Akredite bir laboratuvar tarafından düzenlenmiş olması</w:t>
      </w:r>
    </w:p>
    <w:p w14:paraId="1D932180" w14:textId="5AE00BBC" w:rsidR="00062AF9" w:rsidRDefault="00062AF9" w:rsidP="00062AF9">
      <w:pPr>
        <w:pStyle w:val="ListeParagraf"/>
        <w:numPr>
          <w:ilvl w:val="0"/>
          <w:numId w:val="4"/>
        </w:numPr>
      </w:pPr>
      <w:r>
        <w:t xml:space="preserve">Raporda verilen numune bilgilerinin belgelendirilecek ürün kapsamı ile </w:t>
      </w:r>
      <w:r w:rsidR="00936347">
        <w:t>izlenebilirliğinin sağlanabilmesi</w:t>
      </w:r>
    </w:p>
    <w:p w14:paraId="6AA9B566" w14:textId="07861D1E" w:rsidR="00936347" w:rsidRDefault="00936347" w:rsidP="00936347">
      <w:pPr>
        <w:pStyle w:val="Balk3"/>
        <w:numPr>
          <w:ilvl w:val="2"/>
          <w:numId w:val="3"/>
        </w:numPr>
      </w:pPr>
      <w:r>
        <w:t>Ürün gözetimi</w:t>
      </w:r>
    </w:p>
    <w:p w14:paraId="0EB829D0" w14:textId="03D1EA34" w:rsidR="00936347" w:rsidRDefault="00936347" w:rsidP="00936347">
      <w:r>
        <w:t xml:space="preserve">EUROGAP, </w:t>
      </w:r>
      <w:r w:rsidR="002A02C5">
        <w:t>Ekte verilen tablolar çerçevesinde, yıllık olarak ürün gözetimini üretim yerinden numune alarak Madde 4.4.1’de verilen çerçevede gerçekleştirir.</w:t>
      </w:r>
    </w:p>
    <w:p w14:paraId="062729ED" w14:textId="0805199B" w:rsidR="00936347" w:rsidRDefault="00936347" w:rsidP="00936347">
      <w:pPr>
        <w:pStyle w:val="Balk2"/>
        <w:numPr>
          <w:ilvl w:val="1"/>
          <w:numId w:val="3"/>
        </w:numPr>
      </w:pPr>
      <w:r>
        <w:lastRenderedPageBreak/>
        <w:t>Belge</w:t>
      </w:r>
    </w:p>
    <w:p w14:paraId="0487F76D" w14:textId="522EAC4E" w:rsidR="00936347" w:rsidRDefault="00936347" w:rsidP="00936347">
      <w:r>
        <w:t>Bu kılavuz kapsamında düzenlenen belgeler 1 yıl süre ile düzenlenir. Teknik ve idari şartların sağlanması kaydıyla, her yıl belge süresi belge numarası korunarak uzatılır. Belge süresinin uzatılması belge yenileme olarak değerlendirilmez.</w:t>
      </w:r>
    </w:p>
    <w:p w14:paraId="23763784" w14:textId="77777777" w:rsidR="002A02C5" w:rsidRDefault="002A02C5" w:rsidP="00936347"/>
    <w:p w14:paraId="3B244894" w14:textId="5CB5BB96" w:rsidR="008F4EAB" w:rsidRDefault="008F4EAB" w:rsidP="008F4EAB">
      <w:pPr>
        <w:pStyle w:val="Balk1"/>
        <w:numPr>
          <w:ilvl w:val="0"/>
          <w:numId w:val="3"/>
        </w:numPr>
      </w:pPr>
      <w:r>
        <w:t>İLGİLİ DOKÜMANLAR</w:t>
      </w:r>
    </w:p>
    <w:p w14:paraId="0BEFE410" w14:textId="090BE81F" w:rsidR="002A02C5" w:rsidRDefault="000278F3" w:rsidP="002A02C5">
      <w:r w:rsidRPr="000278F3">
        <w:t>LS</w:t>
      </w:r>
      <w:r>
        <w:t>.</w:t>
      </w:r>
      <w:r w:rsidRPr="000278F3">
        <w:t>ÜB</w:t>
      </w:r>
      <w:r>
        <w:t>.</w:t>
      </w:r>
      <w:r w:rsidRPr="000278F3">
        <w:t>01</w:t>
      </w:r>
      <w:r>
        <w:t>.</w:t>
      </w:r>
      <w:r w:rsidRPr="000278F3">
        <w:t>01 İmalat Kontrol Sistemi Kontrol Listesi</w:t>
      </w:r>
    </w:p>
    <w:p w14:paraId="31A9E772" w14:textId="39EA9923" w:rsidR="000278F3" w:rsidRDefault="000278F3" w:rsidP="002A02C5">
      <w:r w:rsidRPr="000278F3">
        <w:t>FR</w:t>
      </w:r>
      <w:r>
        <w:t>.</w:t>
      </w:r>
      <w:r w:rsidRPr="000278F3">
        <w:t>ÜB</w:t>
      </w:r>
      <w:r>
        <w:t>.</w:t>
      </w:r>
      <w:r w:rsidRPr="000278F3">
        <w:t>00</w:t>
      </w:r>
      <w:r>
        <w:t>.</w:t>
      </w:r>
      <w:r w:rsidRPr="000278F3">
        <w:t>05 Numune Alma Formu</w:t>
      </w:r>
    </w:p>
    <w:p w14:paraId="2818F1AF" w14:textId="3A7DF01D" w:rsidR="000278F3" w:rsidRDefault="000278F3" w:rsidP="002A02C5">
      <w:r w:rsidRPr="000278F3">
        <w:t>FR</w:t>
      </w:r>
      <w:r>
        <w:t>.</w:t>
      </w:r>
      <w:r w:rsidRPr="000278F3">
        <w:t>ÜB</w:t>
      </w:r>
      <w:r>
        <w:t>.</w:t>
      </w:r>
      <w:r w:rsidRPr="000278F3">
        <w:t>00</w:t>
      </w:r>
      <w:r>
        <w:t>.</w:t>
      </w:r>
      <w:r w:rsidRPr="000278F3">
        <w:t>06 Numune Etiketi</w:t>
      </w:r>
    </w:p>
    <w:p w14:paraId="25D6F282" w14:textId="4855E86F" w:rsidR="000278F3" w:rsidRDefault="000278F3" w:rsidP="002A02C5">
      <w:r w:rsidRPr="000278F3">
        <w:t>FR</w:t>
      </w:r>
      <w:r>
        <w:t>.</w:t>
      </w:r>
      <w:r w:rsidRPr="000278F3">
        <w:t>ÜB</w:t>
      </w:r>
      <w:r>
        <w:t>.</w:t>
      </w:r>
      <w:r w:rsidRPr="000278F3">
        <w:t>00</w:t>
      </w:r>
      <w:r>
        <w:t>.</w:t>
      </w:r>
      <w:r w:rsidRPr="000278F3">
        <w:t>07 Deney Sonuçlarının Değerlendirilmesi Formu</w:t>
      </w:r>
    </w:p>
    <w:p w14:paraId="1189F25D" w14:textId="32DEBE65" w:rsidR="000278F3" w:rsidRDefault="000278F3" w:rsidP="002A02C5">
      <w:r w:rsidRPr="000278F3">
        <w:t>FR</w:t>
      </w:r>
      <w:r>
        <w:t>.</w:t>
      </w:r>
      <w:r w:rsidRPr="000278F3">
        <w:t>ÜB</w:t>
      </w:r>
      <w:r>
        <w:t>.</w:t>
      </w:r>
      <w:r w:rsidRPr="000278F3">
        <w:t>01</w:t>
      </w:r>
      <w:r>
        <w:t>.</w:t>
      </w:r>
      <w:r w:rsidRPr="000278F3">
        <w:t>KL</w:t>
      </w:r>
      <w:r>
        <w:t>.</w:t>
      </w:r>
      <w:r w:rsidRPr="000278F3">
        <w:t>02</w:t>
      </w:r>
      <w:r>
        <w:t>.</w:t>
      </w:r>
      <w:r w:rsidRPr="000278F3">
        <w:t>01 Bordür İçin Deney Talep Formu</w:t>
      </w:r>
    </w:p>
    <w:p w14:paraId="42BA469D" w14:textId="2ED6799F" w:rsidR="000278F3" w:rsidRDefault="000278F3" w:rsidP="002A02C5">
      <w:r w:rsidRPr="000278F3">
        <w:t>FR</w:t>
      </w:r>
      <w:r>
        <w:t>.</w:t>
      </w:r>
      <w:r w:rsidRPr="000278F3">
        <w:t>ÜB</w:t>
      </w:r>
      <w:r>
        <w:t>.</w:t>
      </w:r>
      <w:r w:rsidRPr="000278F3">
        <w:t>01</w:t>
      </w:r>
      <w:r>
        <w:t>.</w:t>
      </w:r>
      <w:r w:rsidRPr="000278F3">
        <w:t>KL</w:t>
      </w:r>
      <w:r>
        <w:t>.</w:t>
      </w:r>
      <w:r w:rsidRPr="000278F3">
        <w:t>02</w:t>
      </w:r>
      <w:r>
        <w:t>.</w:t>
      </w:r>
      <w:r w:rsidRPr="000278F3">
        <w:t>02 Parke İçin Deney Talep Formu</w:t>
      </w:r>
    </w:p>
    <w:p w14:paraId="70E1BE33" w14:textId="4E79FE3F" w:rsidR="000278F3" w:rsidRDefault="000278F3" w:rsidP="002A02C5">
      <w:r w:rsidRPr="000278F3">
        <w:t>FR</w:t>
      </w:r>
      <w:r>
        <w:t>.</w:t>
      </w:r>
      <w:r w:rsidRPr="000278F3">
        <w:t>ÜB</w:t>
      </w:r>
      <w:r>
        <w:t>.</w:t>
      </w:r>
      <w:r w:rsidRPr="000278F3">
        <w:t>01</w:t>
      </w:r>
      <w:r>
        <w:t>.</w:t>
      </w:r>
      <w:r w:rsidRPr="000278F3">
        <w:t>KL</w:t>
      </w:r>
      <w:r>
        <w:t>.</w:t>
      </w:r>
      <w:r w:rsidRPr="000278F3">
        <w:t>02</w:t>
      </w:r>
      <w:r>
        <w:t>.</w:t>
      </w:r>
      <w:r w:rsidRPr="000278F3">
        <w:t xml:space="preserve">03 </w:t>
      </w:r>
      <w:proofErr w:type="spellStart"/>
      <w:r w:rsidRPr="000278F3">
        <w:t>Terrazo</w:t>
      </w:r>
      <w:proofErr w:type="spellEnd"/>
      <w:r w:rsidRPr="000278F3">
        <w:t xml:space="preserve"> Karolar İçin Deney Talep Formu</w:t>
      </w:r>
    </w:p>
    <w:p w14:paraId="2D799BE8" w14:textId="270CFA70" w:rsidR="009502EF" w:rsidRDefault="009502EF" w:rsidP="002A02C5">
      <w:r w:rsidRPr="009502EF">
        <w:rPr>
          <w:highlight w:val="yellow"/>
        </w:rPr>
        <w:t>FR.ÜB.01.KL.02.04 Kagir Birimler İçin Deney Talep Formu</w:t>
      </w:r>
    </w:p>
    <w:p w14:paraId="35A701EA" w14:textId="77777777" w:rsidR="004E525F" w:rsidRDefault="004E525F" w:rsidP="004E525F">
      <w:pPr>
        <w:rPr>
          <w:rFonts w:eastAsiaTheme="majorEastAsia"/>
        </w:rPr>
      </w:pPr>
      <w:r>
        <w:rPr>
          <w:rFonts w:eastAsiaTheme="majorEastAsia"/>
        </w:rPr>
        <w:t>T.ÜB.01.KL.02.01 Betondan Mamul Ürünler Numune Alma Talimatı</w:t>
      </w:r>
    </w:p>
    <w:p w14:paraId="445F7CE6" w14:textId="77777777" w:rsidR="002A02C5" w:rsidRDefault="002A02C5" w:rsidP="002A02C5"/>
    <w:p w14:paraId="3388F559" w14:textId="28391766" w:rsidR="002A02C5" w:rsidRDefault="002A02C5">
      <w:r>
        <w:br w:type="page"/>
      </w:r>
    </w:p>
    <w:p w14:paraId="31436325" w14:textId="45FAD1C7" w:rsidR="002A02C5" w:rsidRDefault="002A02C5" w:rsidP="002A02C5">
      <w:pPr>
        <w:pStyle w:val="Balk1"/>
      </w:pPr>
      <w:r>
        <w:lastRenderedPageBreak/>
        <w:t>EK: STANDARDA ÖZGÜ ŞARTLAR</w:t>
      </w:r>
    </w:p>
    <w:p w14:paraId="5E946528" w14:textId="04A4AFF2" w:rsidR="002A02C5" w:rsidRDefault="002A02C5" w:rsidP="002A02C5"/>
    <w:tbl>
      <w:tblPr>
        <w:tblStyle w:val="TabloKlavuzu"/>
        <w:tblW w:w="0" w:type="auto"/>
        <w:tblLayout w:type="fixed"/>
        <w:tblLook w:val="04A0" w:firstRow="1" w:lastRow="0" w:firstColumn="1" w:lastColumn="0" w:noHBand="0" w:noVBand="1"/>
      </w:tblPr>
      <w:tblGrid>
        <w:gridCol w:w="1061"/>
        <w:gridCol w:w="1242"/>
        <w:gridCol w:w="1197"/>
        <w:gridCol w:w="1315"/>
        <w:gridCol w:w="850"/>
        <w:gridCol w:w="3397"/>
      </w:tblGrid>
      <w:tr w:rsidR="000F7A6D" w14:paraId="5FF8E5E7" w14:textId="77777777" w:rsidTr="000F7A6D">
        <w:tc>
          <w:tcPr>
            <w:tcW w:w="1061" w:type="dxa"/>
          </w:tcPr>
          <w:p w14:paraId="77079DA1" w14:textId="41E759B7" w:rsidR="005A56F7" w:rsidRPr="005A56F7" w:rsidRDefault="005A56F7" w:rsidP="005A56F7">
            <w:pPr>
              <w:rPr>
                <w:b/>
                <w:bCs/>
              </w:rPr>
            </w:pPr>
            <w:r w:rsidRPr="005A56F7">
              <w:rPr>
                <w:b/>
                <w:bCs/>
              </w:rPr>
              <w:t>İlgili Standart:</w:t>
            </w:r>
          </w:p>
        </w:tc>
        <w:tc>
          <w:tcPr>
            <w:tcW w:w="1242" w:type="dxa"/>
          </w:tcPr>
          <w:p w14:paraId="7A371F7F" w14:textId="53DB4CE4" w:rsidR="005A56F7" w:rsidRPr="005A56F7" w:rsidRDefault="005A56F7" w:rsidP="005A56F7">
            <w:pPr>
              <w:rPr>
                <w:b/>
                <w:bCs/>
              </w:rPr>
            </w:pPr>
            <w:r w:rsidRPr="005A56F7">
              <w:rPr>
                <w:b/>
                <w:bCs/>
              </w:rPr>
              <w:t>Ürün Adı</w:t>
            </w:r>
          </w:p>
        </w:tc>
        <w:tc>
          <w:tcPr>
            <w:tcW w:w="1197" w:type="dxa"/>
          </w:tcPr>
          <w:p w14:paraId="2FC04EA3" w14:textId="53868D6C" w:rsidR="005A56F7" w:rsidRPr="005A56F7" w:rsidRDefault="005A56F7" w:rsidP="005A56F7">
            <w:pPr>
              <w:rPr>
                <w:b/>
                <w:bCs/>
              </w:rPr>
            </w:pPr>
            <w:r w:rsidRPr="005A56F7">
              <w:rPr>
                <w:b/>
                <w:bCs/>
              </w:rPr>
              <w:t>İmalat Kontrol Sistemi için Ek Şartlar:</w:t>
            </w:r>
          </w:p>
        </w:tc>
        <w:tc>
          <w:tcPr>
            <w:tcW w:w="1315" w:type="dxa"/>
          </w:tcPr>
          <w:p w14:paraId="7F9594A9" w14:textId="7CB367FD" w:rsidR="005A56F7" w:rsidRPr="005A56F7" w:rsidRDefault="005A56F7" w:rsidP="005A56F7">
            <w:pPr>
              <w:rPr>
                <w:b/>
                <w:bCs/>
              </w:rPr>
            </w:pPr>
            <w:r w:rsidRPr="005A56F7">
              <w:rPr>
                <w:b/>
                <w:bCs/>
              </w:rPr>
              <w:t xml:space="preserve">Üretici </w:t>
            </w:r>
            <w:r>
              <w:rPr>
                <w:b/>
                <w:bCs/>
              </w:rPr>
              <w:t>Tesislerinde</w:t>
            </w:r>
            <w:r w:rsidRPr="005A56F7">
              <w:rPr>
                <w:b/>
                <w:bCs/>
              </w:rPr>
              <w:t xml:space="preserve"> Gerçekleştirilecek Testler:</w:t>
            </w:r>
          </w:p>
        </w:tc>
        <w:tc>
          <w:tcPr>
            <w:tcW w:w="850" w:type="dxa"/>
          </w:tcPr>
          <w:p w14:paraId="2875023E" w14:textId="1AD12815" w:rsidR="005A56F7" w:rsidRPr="005A56F7" w:rsidRDefault="005A56F7" w:rsidP="005A56F7">
            <w:pPr>
              <w:rPr>
                <w:b/>
                <w:bCs/>
              </w:rPr>
            </w:pPr>
            <w:r w:rsidRPr="005A56F7">
              <w:rPr>
                <w:b/>
                <w:bCs/>
              </w:rPr>
              <w:t>Ürün Gözetimi Sıklığı:</w:t>
            </w:r>
          </w:p>
        </w:tc>
        <w:tc>
          <w:tcPr>
            <w:tcW w:w="3397" w:type="dxa"/>
          </w:tcPr>
          <w:p w14:paraId="2BE3DF43" w14:textId="3CC55B56" w:rsidR="005A56F7" w:rsidRPr="005A56F7" w:rsidRDefault="005A56F7" w:rsidP="005A56F7">
            <w:pPr>
              <w:rPr>
                <w:b/>
                <w:bCs/>
              </w:rPr>
            </w:pPr>
            <w:r w:rsidRPr="005A56F7">
              <w:rPr>
                <w:b/>
                <w:bCs/>
              </w:rPr>
              <w:t>Ürün Gözetiminde Gerçekleştirilecek Testler:</w:t>
            </w:r>
          </w:p>
        </w:tc>
      </w:tr>
      <w:tr w:rsidR="000F7A6D" w14:paraId="226C69F8" w14:textId="77777777" w:rsidTr="000F7A6D">
        <w:tc>
          <w:tcPr>
            <w:tcW w:w="1061" w:type="dxa"/>
          </w:tcPr>
          <w:p w14:paraId="2D90C0C6" w14:textId="4C0099C8" w:rsidR="005A56F7" w:rsidRPr="005A56F7" w:rsidRDefault="005A56F7" w:rsidP="005A56F7">
            <w:r>
              <w:t>EN 1916</w:t>
            </w:r>
          </w:p>
        </w:tc>
        <w:tc>
          <w:tcPr>
            <w:tcW w:w="1242" w:type="dxa"/>
          </w:tcPr>
          <w:p w14:paraId="25404219" w14:textId="35D65C85" w:rsidR="005A56F7" w:rsidRPr="005A56F7" w:rsidRDefault="005A56F7" w:rsidP="005A56F7">
            <w:r>
              <w:t>Beton borular ve bağlantı parçaları</w:t>
            </w:r>
          </w:p>
        </w:tc>
        <w:tc>
          <w:tcPr>
            <w:tcW w:w="1197" w:type="dxa"/>
          </w:tcPr>
          <w:p w14:paraId="2D348E94" w14:textId="43A94C00" w:rsidR="005A56F7" w:rsidRPr="005A56F7" w:rsidRDefault="005A56F7" w:rsidP="005A56F7">
            <w:r>
              <w:t>EN 1916- Ek G, H ve I dikkate alınmalıdır.</w:t>
            </w:r>
          </w:p>
        </w:tc>
        <w:tc>
          <w:tcPr>
            <w:tcW w:w="1315" w:type="dxa"/>
          </w:tcPr>
          <w:p w14:paraId="544E80E8" w14:textId="7D7812EE" w:rsidR="005A56F7" w:rsidRPr="005A56F7" w:rsidRDefault="005A56F7" w:rsidP="005A56F7">
            <w:r>
              <w:t>Tüm testler</w:t>
            </w:r>
          </w:p>
        </w:tc>
        <w:tc>
          <w:tcPr>
            <w:tcW w:w="850" w:type="dxa"/>
          </w:tcPr>
          <w:p w14:paraId="62B42683" w14:textId="0121969E" w:rsidR="005A56F7" w:rsidRPr="005A56F7" w:rsidRDefault="005A56F7" w:rsidP="005A56F7">
            <w:r>
              <w:t>Yılda 1</w:t>
            </w:r>
          </w:p>
        </w:tc>
        <w:tc>
          <w:tcPr>
            <w:tcW w:w="3397" w:type="dxa"/>
          </w:tcPr>
          <w:p w14:paraId="34364E73" w14:textId="24EC04A0" w:rsidR="005A56F7" w:rsidRPr="005A56F7" w:rsidRDefault="005A56F7" w:rsidP="005A56F7">
            <w:r>
              <w:t>Tüm testler</w:t>
            </w:r>
          </w:p>
        </w:tc>
      </w:tr>
      <w:tr w:rsidR="000F7A6D" w14:paraId="5543D686" w14:textId="77777777" w:rsidTr="000F7A6D">
        <w:tc>
          <w:tcPr>
            <w:tcW w:w="1061" w:type="dxa"/>
          </w:tcPr>
          <w:p w14:paraId="756DEC0E" w14:textId="18C039A5" w:rsidR="00123AD1" w:rsidRDefault="00123AD1" w:rsidP="00123AD1">
            <w:r>
              <w:t>EN 1917</w:t>
            </w:r>
          </w:p>
        </w:tc>
        <w:tc>
          <w:tcPr>
            <w:tcW w:w="1242" w:type="dxa"/>
          </w:tcPr>
          <w:p w14:paraId="1505DE48" w14:textId="6B370905" w:rsidR="00123AD1" w:rsidRDefault="00123AD1" w:rsidP="00123AD1">
            <w:r w:rsidRPr="005A56F7">
              <w:t>Beton muayene bacaları ve odaları</w:t>
            </w:r>
          </w:p>
        </w:tc>
        <w:tc>
          <w:tcPr>
            <w:tcW w:w="1197" w:type="dxa"/>
          </w:tcPr>
          <w:p w14:paraId="1D2D3A1D" w14:textId="097AB6C3" w:rsidR="00123AD1" w:rsidRDefault="00123AD1" w:rsidP="00123AD1">
            <w:r>
              <w:t>EN 1917- Ek F, Ek G ve Ek H dikkate alınmalıdır.</w:t>
            </w:r>
          </w:p>
        </w:tc>
        <w:tc>
          <w:tcPr>
            <w:tcW w:w="1315" w:type="dxa"/>
          </w:tcPr>
          <w:p w14:paraId="6B1B28B9" w14:textId="69AA9BB4" w:rsidR="00123AD1" w:rsidRDefault="00123AD1" w:rsidP="00123AD1">
            <w:r>
              <w:t>Tüm testler</w:t>
            </w:r>
          </w:p>
        </w:tc>
        <w:tc>
          <w:tcPr>
            <w:tcW w:w="850" w:type="dxa"/>
          </w:tcPr>
          <w:p w14:paraId="0BF63846" w14:textId="268D2700" w:rsidR="00123AD1" w:rsidRDefault="00123AD1" w:rsidP="00123AD1">
            <w:r>
              <w:t>Yılda 1</w:t>
            </w:r>
          </w:p>
        </w:tc>
        <w:tc>
          <w:tcPr>
            <w:tcW w:w="3397" w:type="dxa"/>
          </w:tcPr>
          <w:p w14:paraId="7FD97AAA" w14:textId="101DF57B" w:rsidR="00123AD1" w:rsidRDefault="00123AD1" w:rsidP="00123AD1">
            <w:r>
              <w:t>Tüm testler</w:t>
            </w:r>
          </w:p>
        </w:tc>
      </w:tr>
      <w:tr w:rsidR="000F7A6D" w14:paraId="24969A95" w14:textId="77777777" w:rsidTr="000F7A6D">
        <w:tc>
          <w:tcPr>
            <w:tcW w:w="1061" w:type="dxa"/>
          </w:tcPr>
          <w:p w14:paraId="2ED772CF" w14:textId="744FCA67" w:rsidR="00B17675" w:rsidRDefault="00B17675" w:rsidP="00B17675">
            <w:r>
              <w:t>EN 1338</w:t>
            </w:r>
          </w:p>
        </w:tc>
        <w:tc>
          <w:tcPr>
            <w:tcW w:w="1242" w:type="dxa"/>
          </w:tcPr>
          <w:p w14:paraId="1A5C3329" w14:textId="40232CF4" w:rsidR="00B17675" w:rsidRPr="005A56F7" w:rsidRDefault="00B17675" w:rsidP="00B17675">
            <w:r w:rsidRPr="00123AD1">
              <w:t>Zemin Döşemesi İçin Beton Kaplama Blokları</w:t>
            </w:r>
          </w:p>
        </w:tc>
        <w:tc>
          <w:tcPr>
            <w:tcW w:w="1197" w:type="dxa"/>
          </w:tcPr>
          <w:p w14:paraId="5E237C11" w14:textId="222A02FC" w:rsidR="00B17675" w:rsidRDefault="00B17675" w:rsidP="00B17675">
            <w:r>
              <w:t xml:space="preserve">EN </w:t>
            </w:r>
            <w:r w:rsidR="00040829">
              <w:t>1338</w:t>
            </w:r>
            <w:r>
              <w:t xml:space="preserve"> </w:t>
            </w:r>
            <w:r w:rsidR="00040829">
              <w:t xml:space="preserve">madde 6 ve </w:t>
            </w:r>
            <w:r>
              <w:t>Ek A dikkate alınmalıdır.</w:t>
            </w:r>
          </w:p>
        </w:tc>
        <w:tc>
          <w:tcPr>
            <w:tcW w:w="1315" w:type="dxa"/>
          </w:tcPr>
          <w:p w14:paraId="125B7FA8" w14:textId="007DC51C" w:rsidR="00B17675" w:rsidRDefault="00B17675" w:rsidP="00B17675">
            <w:r>
              <w:t>-</w:t>
            </w:r>
          </w:p>
        </w:tc>
        <w:tc>
          <w:tcPr>
            <w:tcW w:w="850" w:type="dxa"/>
          </w:tcPr>
          <w:p w14:paraId="5B3CFD96" w14:textId="7D60B685" w:rsidR="00B17675" w:rsidRDefault="00B17675" w:rsidP="00B17675">
            <w:r>
              <w:t>Yılda 1</w:t>
            </w:r>
          </w:p>
        </w:tc>
        <w:tc>
          <w:tcPr>
            <w:tcW w:w="3397" w:type="dxa"/>
          </w:tcPr>
          <w:p w14:paraId="4DD94E1D" w14:textId="0246F48C" w:rsidR="00B17675" w:rsidRDefault="00B17675" w:rsidP="00B17675">
            <w:r>
              <w:t>Tüm testler</w:t>
            </w:r>
          </w:p>
        </w:tc>
      </w:tr>
      <w:tr w:rsidR="000F7A6D" w14:paraId="02D95B84" w14:textId="77777777" w:rsidTr="000F7A6D">
        <w:tc>
          <w:tcPr>
            <w:tcW w:w="1061" w:type="dxa"/>
          </w:tcPr>
          <w:p w14:paraId="2720F5BB" w14:textId="44EE6B15" w:rsidR="00040829" w:rsidRDefault="00040829" w:rsidP="00040829">
            <w:r>
              <w:t>EN 1340</w:t>
            </w:r>
          </w:p>
        </w:tc>
        <w:tc>
          <w:tcPr>
            <w:tcW w:w="1242" w:type="dxa"/>
          </w:tcPr>
          <w:p w14:paraId="367FC8E0" w14:textId="4CF36174" w:rsidR="00040829" w:rsidRPr="00123AD1" w:rsidRDefault="00040829" w:rsidP="00040829">
            <w:r w:rsidRPr="00B17675">
              <w:t>Zemin Döşemesi İçin Beton Bordür Taşları</w:t>
            </w:r>
          </w:p>
        </w:tc>
        <w:tc>
          <w:tcPr>
            <w:tcW w:w="1197" w:type="dxa"/>
          </w:tcPr>
          <w:p w14:paraId="5F49FDDC" w14:textId="4DC22F66" w:rsidR="00040829" w:rsidRDefault="00040829" w:rsidP="00040829">
            <w:r>
              <w:t>EN 1340 Madde 6 ve Ek A dikkate alınmalıdır.</w:t>
            </w:r>
          </w:p>
        </w:tc>
        <w:tc>
          <w:tcPr>
            <w:tcW w:w="1315" w:type="dxa"/>
          </w:tcPr>
          <w:p w14:paraId="349CBB83" w14:textId="282B87AA" w:rsidR="00040829" w:rsidRDefault="00040829" w:rsidP="00040829">
            <w:r>
              <w:t>-</w:t>
            </w:r>
          </w:p>
        </w:tc>
        <w:tc>
          <w:tcPr>
            <w:tcW w:w="850" w:type="dxa"/>
          </w:tcPr>
          <w:p w14:paraId="7BD25B37" w14:textId="290043C6" w:rsidR="00040829" w:rsidRDefault="00040829" w:rsidP="00040829">
            <w:r>
              <w:t>Yılda 1</w:t>
            </w:r>
          </w:p>
        </w:tc>
        <w:tc>
          <w:tcPr>
            <w:tcW w:w="3397" w:type="dxa"/>
          </w:tcPr>
          <w:p w14:paraId="500249E3" w14:textId="0A34D38E" w:rsidR="00040829" w:rsidRDefault="00040829" w:rsidP="00040829">
            <w:r>
              <w:t>Tüm testler</w:t>
            </w:r>
          </w:p>
        </w:tc>
      </w:tr>
      <w:tr w:rsidR="000F7A6D" w14:paraId="1D0617FE" w14:textId="77777777" w:rsidTr="000F7A6D">
        <w:tc>
          <w:tcPr>
            <w:tcW w:w="1061" w:type="dxa"/>
          </w:tcPr>
          <w:p w14:paraId="50F49910" w14:textId="689A1530" w:rsidR="00040829" w:rsidRDefault="00040829" w:rsidP="00040829">
            <w:r>
              <w:t>EN 13748-1</w:t>
            </w:r>
          </w:p>
        </w:tc>
        <w:tc>
          <w:tcPr>
            <w:tcW w:w="1242" w:type="dxa"/>
          </w:tcPr>
          <w:p w14:paraId="52A0DC85" w14:textId="3EA5208A" w:rsidR="00040829" w:rsidRPr="00B17675" w:rsidRDefault="00040829" w:rsidP="00040829">
            <w:proofErr w:type="spellStart"/>
            <w:r w:rsidRPr="00040829">
              <w:t>Terrazo</w:t>
            </w:r>
            <w:proofErr w:type="spellEnd"/>
            <w:r w:rsidRPr="00040829">
              <w:t xml:space="preserve"> </w:t>
            </w:r>
            <w:proofErr w:type="gramStart"/>
            <w:r w:rsidRPr="00040829">
              <w:t>karolar -</w:t>
            </w:r>
            <w:proofErr w:type="gramEnd"/>
            <w:r w:rsidRPr="00040829">
              <w:t xml:space="preserve"> İç mekânlarda kullanım için</w:t>
            </w:r>
          </w:p>
        </w:tc>
        <w:tc>
          <w:tcPr>
            <w:tcW w:w="1197" w:type="dxa"/>
          </w:tcPr>
          <w:p w14:paraId="0038AEC4" w14:textId="5FDE196F" w:rsidR="00040829" w:rsidRDefault="00040829" w:rsidP="00040829">
            <w:r>
              <w:t>-</w:t>
            </w:r>
          </w:p>
        </w:tc>
        <w:tc>
          <w:tcPr>
            <w:tcW w:w="1315" w:type="dxa"/>
          </w:tcPr>
          <w:p w14:paraId="19953D84" w14:textId="6682A637" w:rsidR="00040829" w:rsidRDefault="00040829" w:rsidP="00040829">
            <w:r>
              <w:t>-</w:t>
            </w:r>
          </w:p>
        </w:tc>
        <w:tc>
          <w:tcPr>
            <w:tcW w:w="850" w:type="dxa"/>
          </w:tcPr>
          <w:p w14:paraId="0D65C028" w14:textId="1CE10632" w:rsidR="00040829" w:rsidRDefault="00040829" w:rsidP="00040829">
            <w:r>
              <w:t>Yılda 1</w:t>
            </w:r>
          </w:p>
        </w:tc>
        <w:tc>
          <w:tcPr>
            <w:tcW w:w="3397" w:type="dxa"/>
          </w:tcPr>
          <w:p w14:paraId="13898027" w14:textId="7FB77D4F" w:rsidR="00040829" w:rsidRDefault="00040829" w:rsidP="00040829">
            <w:r>
              <w:t>Tüm testler</w:t>
            </w:r>
          </w:p>
        </w:tc>
      </w:tr>
      <w:tr w:rsidR="000F7A6D" w14:paraId="6A60A423" w14:textId="77777777" w:rsidTr="000F7A6D">
        <w:tc>
          <w:tcPr>
            <w:tcW w:w="1061" w:type="dxa"/>
          </w:tcPr>
          <w:p w14:paraId="2D8AA54C" w14:textId="2AE38D32" w:rsidR="00040829" w:rsidRDefault="00040829" w:rsidP="00040829">
            <w:r>
              <w:t>EN 13748-2</w:t>
            </w:r>
          </w:p>
        </w:tc>
        <w:tc>
          <w:tcPr>
            <w:tcW w:w="1242" w:type="dxa"/>
          </w:tcPr>
          <w:p w14:paraId="3AF422C3" w14:textId="29A1D52D" w:rsidR="00040829" w:rsidRPr="00040829" w:rsidRDefault="00040829" w:rsidP="00040829">
            <w:proofErr w:type="spellStart"/>
            <w:r w:rsidRPr="00040829">
              <w:t>Terrazo</w:t>
            </w:r>
            <w:proofErr w:type="spellEnd"/>
            <w:r w:rsidRPr="00040829">
              <w:t xml:space="preserve"> </w:t>
            </w:r>
            <w:proofErr w:type="gramStart"/>
            <w:r w:rsidRPr="00040829">
              <w:t>karolar -</w:t>
            </w:r>
            <w:proofErr w:type="gramEnd"/>
            <w:r w:rsidRPr="00040829">
              <w:t xml:space="preserve"> Dış mekânlarda kullanım için</w:t>
            </w:r>
          </w:p>
        </w:tc>
        <w:tc>
          <w:tcPr>
            <w:tcW w:w="1197" w:type="dxa"/>
          </w:tcPr>
          <w:p w14:paraId="42E657A0" w14:textId="75DA180D" w:rsidR="00040829" w:rsidRDefault="00040829" w:rsidP="00040829">
            <w:r>
              <w:t>-</w:t>
            </w:r>
          </w:p>
        </w:tc>
        <w:tc>
          <w:tcPr>
            <w:tcW w:w="1315" w:type="dxa"/>
          </w:tcPr>
          <w:p w14:paraId="19BC653A" w14:textId="4AD99053" w:rsidR="00040829" w:rsidRDefault="00040829" w:rsidP="00040829">
            <w:r>
              <w:t>-</w:t>
            </w:r>
          </w:p>
        </w:tc>
        <w:tc>
          <w:tcPr>
            <w:tcW w:w="850" w:type="dxa"/>
          </w:tcPr>
          <w:p w14:paraId="6B841C36" w14:textId="1782A5AF" w:rsidR="00040829" w:rsidRDefault="00040829" w:rsidP="00040829">
            <w:r>
              <w:t>Yılda 1</w:t>
            </w:r>
          </w:p>
        </w:tc>
        <w:tc>
          <w:tcPr>
            <w:tcW w:w="3397" w:type="dxa"/>
          </w:tcPr>
          <w:p w14:paraId="463B4205" w14:textId="0A1AE2C6" w:rsidR="00040829" w:rsidRDefault="00040829" w:rsidP="00040829">
            <w:r>
              <w:t>Tüm testler</w:t>
            </w:r>
          </w:p>
        </w:tc>
      </w:tr>
      <w:tr w:rsidR="000F7A6D" w14:paraId="42C143F3" w14:textId="77777777" w:rsidTr="000F7A6D">
        <w:tc>
          <w:tcPr>
            <w:tcW w:w="1061" w:type="dxa"/>
            <w:vMerge w:val="restart"/>
            <w:vAlign w:val="center"/>
          </w:tcPr>
          <w:p w14:paraId="1C85EA38" w14:textId="7AD3F703" w:rsidR="007503A2" w:rsidRDefault="007503A2" w:rsidP="00040829">
            <w:r>
              <w:t>EN 12620</w:t>
            </w:r>
          </w:p>
        </w:tc>
        <w:tc>
          <w:tcPr>
            <w:tcW w:w="1242" w:type="dxa"/>
            <w:vMerge w:val="restart"/>
            <w:vAlign w:val="center"/>
          </w:tcPr>
          <w:p w14:paraId="58771EEA" w14:textId="20EEEB26" w:rsidR="007503A2" w:rsidRPr="00040829" w:rsidRDefault="007503A2" w:rsidP="00040829">
            <w:r>
              <w:t>Beton Agregaları</w:t>
            </w:r>
          </w:p>
        </w:tc>
        <w:tc>
          <w:tcPr>
            <w:tcW w:w="1197" w:type="dxa"/>
            <w:vMerge w:val="restart"/>
            <w:vAlign w:val="center"/>
          </w:tcPr>
          <w:p w14:paraId="6CE9D62A" w14:textId="1118ED39" w:rsidR="007503A2" w:rsidRDefault="007503A2" w:rsidP="00040829">
            <w:r>
              <w:t>EN 12620 Ek H dikkate alınmalıdır.</w:t>
            </w:r>
          </w:p>
        </w:tc>
        <w:tc>
          <w:tcPr>
            <w:tcW w:w="1315" w:type="dxa"/>
            <w:vMerge w:val="restart"/>
            <w:vAlign w:val="center"/>
          </w:tcPr>
          <w:p w14:paraId="61C9FD52" w14:textId="04516ABE" w:rsidR="007503A2" w:rsidRDefault="007503A2" w:rsidP="00040829">
            <w:r>
              <w:t>-</w:t>
            </w:r>
          </w:p>
        </w:tc>
        <w:tc>
          <w:tcPr>
            <w:tcW w:w="850" w:type="dxa"/>
            <w:vAlign w:val="center"/>
          </w:tcPr>
          <w:p w14:paraId="1D081A91" w14:textId="0D1AB6B9" w:rsidR="007503A2" w:rsidRDefault="007503A2" w:rsidP="00040829">
            <w:r>
              <w:t>3 yılda 1</w:t>
            </w:r>
          </w:p>
        </w:tc>
        <w:tc>
          <w:tcPr>
            <w:tcW w:w="3397" w:type="dxa"/>
            <w:vAlign w:val="center"/>
          </w:tcPr>
          <w:p w14:paraId="5AEFF61B" w14:textId="1C0C6DC6" w:rsidR="007503A2" w:rsidRDefault="007503A2" w:rsidP="00040829">
            <w:r>
              <w:t>Petrografik tanımlama</w:t>
            </w:r>
          </w:p>
        </w:tc>
      </w:tr>
      <w:tr w:rsidR="000F7A6D" w14:paraId="7B2C84CF" w14:textId="77777777" w:rsidTr="000F7A6D">
        <w:tc>
          <w:tcPr>
            <w:tcW w:w="1061" w:type="dxa"/>
            <w:vMerge/>
            <w:vAlign w:val="center"/>
          </w:tcPr>
          <w:p w14:paraId="7C456546" w14:textId="77777777" w:rsidR="007503A2" w:rsidRDefault="007503A2" w:rsidP="00040829"/>
        </w:tc>
        <w:tc>
          <w:tcPr>
            <w:tcW w:w="1242" w:type="dxa"/>
            <w:vMerge/>
            <w:vAlign w:val="center"/>
          </w:tcPr>
          <w:p w14:paraId="0D4B2E8F" w14:textId="77777777" w:rsidR="007503A2" w:rsidRDefault="007503A2" w:rsidP="00040829"/>
        </w:tc>
        <w:tc>
          <w:tcPr>
            <w:tcW w:w="1197" w:type="dxa"/>
            <w:vMerge/>
            <w:vAlign w:val="center"/>
          </w:tcPr>
          <w:p w14:paraId="1845EECE" w14:textId="77777777" w:rsidR="007503A2" w:rsidRDefault="007503A2" w:rsidP="00040829"/>
        </w:tc>
        <w:tc>
          <w:tcPr>
            <w:tcW w:w="1315" w:type="dxa"/>
            <w:vMerge/>
            <w:vAlign w:val="center"/>
          </w:tcPr>
          <w:p w14:paraId="4DE719EB" w14:textId="77777777" w:rsidR="007503A2" w:rsidRDefault="007503A2" w:rsidP="00040829"/>
        </w:tc>
        <w:tc>
          <w:tcPr>
            <w:tcW w:w="850" w:type="dxa"/>
            <w:vMerge w:val="restart"/>
            <w:vAlign w:val="center"/>
          </w:tcPr>
          <w:p w14:paraId="35DA3858" w14:textId="0CA5B98B" w:rsidR="007503A2" w:rsidRDefault="007503A2" w:rsidP="00155430">
            <w:r>
              <w:t>2 yılda 1</w:t>
            </w:r>
          </w:p>
        </w:tc>
        <w:tc>
          <w:tcPr>
            <w:tcW w:w="3397" w:type="dxa"/>
            <w:vAlign w:val="center"/>
          </w:tcPr>
          <w:p w14:paraId="0FB057FF" w14:textId="19E65243" w:rsidR="007503A2" w:rsidRDefault="007503A2" w:rsidP="00155430">
            <w:proofErr w:type="spellStart"/>
            <w:r w:rsidRPr="00155430">
              <w:t>Bozunma</w:t>
            </w:r>
            <w:proofErr w:type="spellEnd"/>
            <w:r w:rsidRPr="00155430">
              <w:t xml:space="preserve"> (yıpranma) direnci</w:t>
            </w:r>
            <w:r>
              <w:t xml:space="preserve"> (Sadece yüzey tabakalarında kullanılan agregalar)</w:t>
            </w:r>
          </w:p>
        </w:tc>
      </w:tr>
      <w:tr w:rsidR="000F7A6D" w14:paraId="3D0D1349" w14:textId="77777777" w:rsidTr="000F7A6D">
        <w:tc>
          <w:tcPr>
            <w:tcW w:w="1061" w:type="dxa"/>
            <w:vMerge/>
            <w:vAlign w:val="center"/>
          </w:tcPr>
          <w:p w14:paraId="45E5787D" w14:textId="77777777" w:rsidR="007503A2" w:rsidRDefault="007503A2" w:rsidP="00155430"/>
        </w:tc>
        <w:tc>
          <w:tcPr>
            <w:tcW w:w="1242" w:type="dxa"/>
            <w:vMerge/>
            <w:vAlign w:val="center"/>
          </w:tcPr>
          <w:p w14:paraId="0F4C210A" w14:textId="77777777" w:rsidR="007503A2" w:rsidRDefault="007503A2" w:rsidP="00155430"/>
        </w:tc>
        <w:tc>
          <w:tcPr>
            <w:tcW w:w="1197" w:type="dxa"/>
            <w:vMerge/>
            <w:vAlign w:val="center"/>
          </w:tcPr>
          <w:p w14:paraId="769C3700" w14:textId="77777777" w:rsidR="007503A2" w:rsidRDefault="007503A2" w:rsidP="00155430"/>
        </w:tc>
        <w:tc>
          <w:tcPr>
            <w:tcW w:w="1315" w:type="dxa"/>
            <w:vMerge/>
            <w:vAlign w:val="center"/>
          </w:tcPr>
          <w:p w14:paraId="61F6E7F2" w14:textId="77777777" w:rsidR="007503A2" w:rsidRDefault="007503A2" w:rsidP="00155430"/>
        </w:tc>
        <w:tc>
          <w:tcPr>
            <w:tcW w:w="850" w:type="dxa"/>
            <w:vMerge/>
            <w:vAlign w:val="center"/>
          </w:tcPr>
          <w:p w14:paraId="582D0CF3" w14:textId="1609D07E" w:rsidR="007503A2" w:rsidRDefault="007503A2" w:rsidP="00155430"/>
        </w:tc>
        <w:tc>
          <w:tcPr>
            <w:tcW w:w="3397" w:type="dxa"/>
            <w:vAlign w:val="center"/>
          </w:tcPr>
          <w:p w14:paraId="53569E8B" w14:textId="2E34572C" w:rsidR="007503A2" w:rsidRPr="00155430" w:rsidRDefault="007503A2" w:rsidP="00155430">
            <w:r w:rsidRPr="00155430">
              <w:rPr>
                <w:rFonts w:cstheme="minorHAnsi"/>
              </w:rPr>
              <w:t>Parlatma direnci</w:t>
            </w:r>
            <w:r>
              <w:t xml:space="preserve"> (Sadece yüzey tabakalarında kullanılan agregalar)</w:t>
            </w:r>
          </w:p>
        </w:tc>
      </w:tr>
      <w:tr w:rsidR="000F7A6D" w14:paraId="47D72837" w14:textId="77777777" w:rsidTr="000F7A6D">
        <w:tc>
          <w:tcPr>
            <w:tcW w:w="1061" w:type="dxa"/>
            <w:vMerge/>
            <w:vAlign w:val="center"/>
          </w:tcPr>
          <w:p w14:paraId="6BA1F709" w14:textId="77777777" w:rsidR="007503A2" w:rsidRDefault="007503A2" w:rsidP="00155430"/>
        </w:tc>
        <w:tc>
          <w:tcPr>
            <w:tcW w:w="1242" w:type="dxa"/>
            <w:vMerge/>
            <w:vAlign w:val="center"/>
          </w:tcPr>
          <w:p w14:paraId="3F8F0184" w14:textId="77777777" w:rsidR="007503A2" w:rsidRDefault="007503A2" w:rsidP="00155430"/>
        </w:tc>
        <w:tc>
          <w:tcPr>
            <w:tcW w:w="1197" w:type="dxa"/>
            <w:vMerge/>
            <w:vAlign w:val="center"/>
          </w:tcPr>
          <w:p w14:paraId="6C39F87F" w14:textId="77777777" w:rsidR="007503A2" w:rsidRDefault="007503A2" w:rsidP="00155430"/>
        </w:tc>
        <w:tc>
          <w:tcPr>
            <w:tcW w:w="1315" w:type="dxa"/>
            <w:vMerge/>
            <w:vAlign w:val="center"/>
          </w:tcPr>
          <w:p w14:paraId="06FF0E49" w14:textId="77777777" w:rsidR="007503A2" w:rsidRDefault="007503A2" w:rsidP="00155430"/>
        </w:tc>
        <w:tc>
          <w:tcPr>
            <w:tcW w:w="850" w:type="dxa"/>
            <w:vMerge/>
            <w:vAlign w:val="center"/>
          </w:tcPr>
          <w:p w14:paraId="01D3BA99" w14:textId="42CB4760" w:rsidR="007503A2" w:rsidRDefault="007503A2" w:rsidP="00155430"/>
        </w:tc>
        <w:tc>
          <w:tcPr>
            <w:tcW w:w="3397" w:type="dxa"/>
            <w:vAlign w:val="center"/>
          </w:tcPr>
          <w:p w14:paraId="2ACB9BD6" w14:textId="77777777" w:rsidR="007503A2" w:rsidRDefault="007503A2" w:rsidP="00155430">
            <w:r w:rsidRPr="00155430">
              <w:t>Yüzey aşınma direnci</w:t>
            </w:r>
          </w:p>
          <w:p w14:paraId="32AA3C46" w14:textId="787A2306" w:rsidR="007503A2" w:rsidRPr="00155430" w:rsidRDefault="007503A2" w:rsidP="00155430">
            <w:r>
              <w:t>(Sadece yüzey tabakalarında kullanılan agregalar)</w:t>
            </w:r>
          </w:p>
        </w:tc>
      </w:tr>
      <w:tr w:rsidR="000F7A6D" w14:paraId="2FE22D34" w14:textId="77777777" w:rsidTr="000F7A6D">
        <w:tc>
          <w:tcPr>
            <w:tcW w:w="1061" w:type="dxa"/>
            <w:vMerge/>
            <w:vAlign w:val="center"/>
          </w:tcPr>
          <w:p w14:paraId="52903933" w14:textId="77777777" w:rsidR="007503A2" w:rsidRDefault="007503A2" w:rsidP="00155430"/>
        </w:tc>
        <w:tc>
          <w:tcPr>
            <w:tcW w:w="1242" w:type="dxa"/>
            <w:vMerge/>
            <w:vAlign w:val="center"/>
          </w:tcPr>
          <w:p w14:paraId="01EF31DF" w14:textId="77777777" w:rsidR="007503A2" w:rsidRDefault="007503A2" w:rsidP="00155430"/>
        </w:tc>
        <w:tc>
          <w:tcPr>
            <w:tcW w:w="1197" w:type="dxa"/>
            <w:vMerge/>
            <w:vAlign w:val="center"/>
          </w:tcPr>
          <w:p w14:paraId="5058F168" w14:textId="77777777" w:rsidR="007503A2" w:rsidRDefault="007503A2" w:rsidP="00155430"/>
        </w:tc>
        <w:tc>
          <w:tcPr>
            <w:tcW w:w="1315" w:type="dxa"/>
            <w:vMerge/>
            <w:vAlign w:val="center"/>
          </w:tcPr>
          <w:p w14:paraId="7F3201DD" w14:textId="77777777" w:rsidR="007503A2" w:rsidRDefault="007503A2" w:rsidP="00155430"/>
        </w:tc>
        <w:tc>
          <w:tcPr>
            <w:tcW w:w="850" w:type="dxa"/>
            <w:vMerge/>
            <w:vAlign w:val="center"/>
          </w:tcPr>
          <w:p w14:paraId="3C7E7F62" w14:textId="1261006F" w:rsidR="007503A2" w:rsidRDefault="007503A2" w:rsidP="00155430"/>
        </w:tc>
        <w:tc>
          <w:tcPr>
            <w:tcW w:w="3397" w:type="dxa"/>
            <w:vAlign w:val="center"/>
          </w:tcPr>
          <w:p w14:paraId="629F6C66" w14:textId="77777777" w:rsidR="007503A2" w:rsidRDefault="007503A2" w:rsidP="00155430">
            <w:r>
              <w:t>Çivili lâstiklerden kaynaklanan aşınma direnci</w:t>
            </w:r>
          </w:p>
          <w:p w14:paraId="5BE9B56E" w14:textId="44EA9DE5" w:rsidR="007503A2" w:rsidRPr="00155430" w:rsidRDefault="007503A2" w:rsidP="00155430">
            <w:r>
              <w:lastRenderedPageBreak/>
              <w:t>(Sadece, çivili lâstiklerin kullanıldığı bölgelerde)</w:t>
            </w:r>
          </w:p>
        </w:tc>
      </w:tr>
      <w:tr w:rsidR="000F7A6D" w14:paraId="0C3B6D2C" w14:textId="77777777" w:rsidTr="000F7A6D">
        <w:tc>
          <w:tcPr>
            <w:tcW w:w="1061" w:type="dxa"/>
            <w:vMerge/>
            <w:vAlign w:val="center"/>
          </w:tcPr>
          <w:p w14:paraId="2D99ECBE" w14:textId="77777777" w:rsidR="007503A2" w:rsidRDefault="007503A2" w:rsidP="00155430"/>
        </w:tc>
        <w:tc>
          <w:tcPr>
            <w:tcW w:w="1242" w:type="dxa"/>
            <w:vMerge/>
            <w:vAlign w:val="center"/>
          </w:tcPr>
          <w:p w14:paraId="051BF730" w14:textId="77777777" w:rsidR="007503A2" w:rsidRDefault="007503A2" w:rsidP="00155430"/>
        </w:tc>
        <w:tc>
          <w:tcPr>
            <w:tcW w:w="1197" w:type="dxa"/>
            <w:vMerge/>
            <w:vAlign w:val="center"/>
          </w:tcPr>
          <w:p w14:paraId="1CE6AED4" w14:textId="77777777" w:rsidR="007503A2" w:rsidRDefault="007503A2" w:rsidP="00155430"/>
        </w:tc>
        <w:tc>
          <w:tcPr>
            <w:tcW w:w="1315" w:type="dxa"/>
            <w:vMerge/>
            <w:vAlign w:val="center"/>
          </w:tcPr>
          <w:p w14:paraId="58CDABF1" w14:textId="77777777" w:rsidR="007503A2" w:rsidRDefault="007503A2" w:rsidP="00155430"/>
        </w:tc>
        <w:tc>
          <w:tcPr>
            <w:tcW w:w="850" w:type="dxa"/>
            <w:vMerge/>
            <w:vAlign w:val="center"/>
          </w:tcPr>
          <w:p w14:paraId="654A2DD7" w14:textId="03D65CA9" w:rsidR="007503A2" w:rsidRDefault="007503A2" w:rsidP="00155430"/>
        </w:tc>
        <w:tc>
          <w:tcPr>
            <w:tcW w:w="3397" w:type="dxa"/>
            <w:vAlign w:val="center"/>
          </w:tcPr>
          <w:p w14:paraId="69CD8385" w14:textId="6C640752" w:rsidR="007503A2" w:rsidRDefault="007503A2" w:rsidP="00155430">
            <w:r w:rsidRPr="00155430">
              <w:t>Donma ve çözülme</w:t>
            </w:r>
          </w:p>
        </w:tc>
      </w:tr>
      <w:tr w:rsidR="000F7A6D" w14:paraId="0E78CF72" w14:textId="77777777" w:rsidTr="000F7A6D">
        <w:tc>
          <w:tcPr>
            <w:tcW w:w="1061" w:type="dxa"/>
            <w:vMerge/>
            <w:vAlign w:val="center"/>
          </w:tcPr>
          <w:p w14:paraId="255C5A20" w14:textId="77777777" w:rsidR="007503A2" w:rsidRDefault="007503A2" w:rsidP="00155430"/>
        </w:tc>
        <w:tc>
          <w:tcPr>
            <w:tcW w:w="1242" w:type="dxa"/>
            <w:vMerge/>
            <w:vAlign w:val="center"/>
          </w:tcPr>
          <w:p w14:paraId="62FA5271" w14:textId="77777777" w:rsidR="007503A2" w:rsidRDefault="007503A2" w:rsidP="00155430"/>
        </w:tc>
        <w:tc>
          <w:tcPr>
            <w:tcW w:w="1197" w:type="dxa"/>
            <w:vMerge/>
            <w:vAlign w:val="center"/>
          </w:tcPr>
          <w:p w14:paraId="3839AA91" w14:textId="77777777" w:rsidR="007503A2" w:rsidRDefault="007503A2" w:rsidP="00155430"/>
        </w:tc>
        <w:tc>
          <w:tcPr>
            <w:tcW w:w="1315" w:type="dxa"/>
            <w:vMerge/>
            <w:vAlign w:val="center"/>
          </w:tcPr>
          <w:p w14:paraId="17515DA3" w14:textId="77777777" w:rsidR="007503A2" w:rsidRDefault="007503A2" w:rsidP="00155430"/>
        </w:tc>
        <w:tc>
          <w:tcPr>
            <w:tcW w:w="850" w:type="dxa"/>
            <w:vMerge/>
            <w:vAlign w:val="center"/>
          </w:tcPr>
          <w:p w14:paraId="2781EB57" w14:textId="408A9E81" w:rsidR="007503A2" w:rsidRDefault="007503A2" w:rsidP="00155430"/>
        </w:tc>
        <w:tc>
          <w:tcPr>
            <w:tcW w:w="3397" w:type="dxa"/>
            <w:vAlign w:val="center"/>
          </w:tcPr>
          <w:p w14:paraId="1866AF99" w14:textId="77777777" w:rsidR="007503A2" w:rsidRDefault="007503A2" w:rsidP="00155430">
            <w:r w:rsidRPr="00155430">
              <w:t>Klorür muhtevası</w:t>
            </w:r>
          </w:p>
          <w:p w14:paraId="3E2E3A21" w14:textId="3E654431" w:rsidR="007503A2" w:rsidRPr="00155430" w:rsidRDefault="007503A2" w:rsidP="00155430">
            <w:r>
              <w:t>(</w:t>
            </w:r>
            <w:proofErr w:type="gramStart"/>
            <w:r>
              <w:t>deniz</w:t>
            </w:r>
            <w:proofErr w:type="gramEnd"/>
            <w:r>
              <w:t xml:space="preserve"> kökenli agregalar)</w:t>
            </w:r>
          </w:p>
        </w:tc>
      </w:tr>
      <w:tr w:rsidR="000F7A6D" w14:paraId="39617053" w14:textId="77777777" w:rsidTr="000F7A6D">
        <w:tc>
          <w:tcPr>
            <w:tcW w:w="1061" w:type="dxa"/>
            <w:vMerge/>
            <w:vAlign w:val="center"/>
          </w:tcPr>
          <w:p w14:paraId="69E95DB6" w14:textId="77777777" w:rsidR="007503A2" w:rsidRDefault="007503A2" w:rsidP="00155430"/>
        </w:tc>
        <w:tc>
          <w:tcPr>
            <w:tcW w:w="1242" w:type="dxa"/>
            <w:vMerge/>
            <w:vAlign w:val="center"/>
          </w:tcPr>
          <w:p w14:paraId="38BD0E32" w14:textId="77777777" w:rsidR="007503A2" w:rsidRDefault="007503A2" w:rsidP="00155430"/>
        </w:tc>
        <w:tc>
          <w:tcPr>
            <w:tcW w:w="1197" w:type="dxa"/>
            <w:vMerge/>
            <w:vAlign w:val="center"/>
          </w:tcPr>
          <w:p w14:paraId="47D67067" w14:textId="77777777" w:rsidR="007503A2" w:rsidRDefault="007503A2" w:rsidP="00155430"/>
        </w:tc>
        <w:tc>
          <w:tcPr>
            <w:tcW w:w="1315" w:type="dxa"/>
            <w:vMerge/>
            <w:vAlign w:val="center"/>
          </w:tcPr>
          <w:p w14:paraId="08A2E9E7" w14:textId="77777777" w:rsidR="007503A2" w:rsidRDefault="007503A2" w:rsidP="00155430"/>
        </w:tc>
        <w:tc>
          <w:tcPr>
            <w:tcW w:w="850" w:type="dxa"/>
            <w:vMerge/>
            <w:vAlign w:val="center"/>
          </w:tcPr>
          <w:p w14:paraId="6CF3E528" w14:textId="14DCD282" w:rsidR="007503A2" w:rsidRDefault="007503A2" w:rsidP="00155430"/>
        </w:tc>
        <w:tc>
          <w:tcPr>
            <w:tcW w:w="3397" w:type="dxa"/>
            <w:vAlign w:val="center"/>
          </w:tcPr>
          <w:p w14:paraId="650CF90E" w14:textId="77777777" w:rsidR="007503A2" w:rsidRDefault="007503A2" w:rsidP="00155430">
            <w:r w:rsidRPr="00155430">
              <w:t>Kalsiyum karbonat muhtevası</w:t>
            </w:r>
            <w:r>
              <w:t xml:space="preserve"> </w:t>
            </w:r>
          </w:p>
          <w:p w14:paraId="63AB301B" w14:textId="6DC2F549" w:rsidR="007503A2" w:rsidRPr="00155430" w:rsidRDefault="007503A2" w:rsidP="00155430">
            <w:r>
              <w:t>(Beton kaplama yüzey işlemlerinde kullanılan ince agregalar)</w:t>
            </w:r>
          </w:p>
        </w:tc>
      </w:tr>
      <w:tr w:rsidR="000F7A6D" w14:paraId="77F49F92" w14:textId="77777777" w:rsidTr="000F7A6D">
        <w:tc>
          <w:tcPr>
            <w:tcW w:w="1061" w:type="dxa"/>
            <w:vMerge/>
            <w:vAlign w:val="center"/>
          </w:tcPr>
          <w:p w14:paraId="1F0FFD32" w14:textId="77777777" w:rsidR="007503A2" w:rsidRDefault="007503A2" w:rsidP="00155430"/>
        </w:tc>
        <w:tc>
          <w:tcPr>
            <w:tcW w:w="1242" w:type="dxa"/>
            <w:vMerge/>
            <w:vAlign w:val="center"/>
          </w:tcPr>
          <w:p w14:paraId="43712EDF" w14:textId="77777777" w:rsidR="007503A2" w:rsidRDefault="007503A2" w:rsidP="00155430"/>
        </w:tc>
        <w:tc>
          <w:tcPr>
            <w:tcW w:w="1197" w:type="dxa"/>
            <w:vMerge/>
            <w:vAlign w:val="center"/>
          </w:tcPr>
          <w:p w14:paraId="681FF454" w14:textId="77777777" w:rsidR="007503A2" w:rsidRDefault="007503A2" w:rsidP="00155430"/>
        </w:tc>
        <w:tc>
          <w:tcPr>
            <w:tcW w:w="1315" w:type="dxa"/>
            <w:vMerge/>
            <w:vAlign w:val="center"/>
          </w:tcPr>
          <w:p w14:paraId="2CED3A1F" w14:textId="77777777" w:rsidR="007503A2" w:rsidRDefault="007503A2" w:rsidP="00155430"/>
        </w:tc>
        <w:tc>
          <w:tcPr>
            <w:tcW w:w="850" w:type="dxa"/>
            <w:vAlign w:val="center"/>
          </w:tcPr>
          <w:p w14:paraId="23DB778D" w14:textId="73595A87" w:rsidR="007503A2" w:rsidRDefault="007503A2" w:rsidP="00155430">
            <w:r>
              <w:t>Yılda 1</w:t>
            </w:r>
          </w:p>
        </w:tc>
        <w:tc>
          <w:tcPr>
            <w:tcW w:w="3397" w:type="dxa"/>
            <w:vAlign w:val="center"/>
          </w:tcPr>
          <w:p w14:paraId="35863038" w14:textId="65FD0D5B" w:rsidR="007503A2" w:rsidRPr="00155430" w:rsidRDefault="007503A2" w:rsidP="00155430">
            <w:r>
              <w:t>Geriye kalan tüm ilgili testler</w:t>
            </w:r>
          </w:p>
        </w:tc>
      </w:tr>
      <w:tr w:rsidR="000F7A6D" w14:paraId="3E6CFA8F" w14:textId="77777777" w:rsidTr="000F7A6D">
        <w:tc>
          <w:tcPr>
            <w:tcW w:w="1061" w:type="dxa"/>
            <w:vMerge/>
            <w:vAlign w:val="center"/>
          </w:tcPr>
          <w:p w14:paraId="08F0C866" w14:textId="77777777" w:rsidR="007503A2" w:rsidRDefault="007503A2" w:rsidP="00155430"/>
        </w:tc>
        <w:tc>
          <w:tcPr>
            <w:tcW w:w="1242" w:type="dxa"/>
            <w:vMerge/>
            <w:vAlign w:val="center"/>
          </w:tcPr>
          <w:p w14:paraId="1844B8D7" w14:textId="77777777" w:rsidR="007503A2" w:rsidRDefault="007503A2" w:rsidP="00155430"/>
        </w:tc>
        <w:tc>
          <w:tcPr>
            <w:tcW w:w="1197" w:type="dxa"/>
            <w:vMerge/>
            <w:vAlign w:val="center"/>
          </w:tcPr>
          <w:p w14:paraId="1F73C408" w14:textId="77777777" w:rsidR="007503A2" w:rsidRDefault="007503A2" w:rsidP="00155430"/>
        </w:tc>
        <w:tc>
          <w:tcPr>
            <w:tcW w:w="1315" w:type="dxa"/>
            <w:vMerge/>
            <w:vAlign w:val="center"/>
          </w:tcPr>
          <w:p w14:paraId="37343C07" w14:textId="77777777" w:rsidR="007503A2" w:rsidRDefault="007503A2" w:rsidP="00155430"/>
        </w:tc>
        <w:tc>
          <w:tcPr>
            <w:tcW w:w="850" w:type="dxa"/>
            <w:vAlign w:val="center"/>
          </w:tcPr>
          <w:p w14:paraId="69EF9934" w14:textId="4DED1758" w:rsidR="007503A2" w:rsidRDefault="007503A2" w:rsidP="00155430">
            <w:r>
              <w:t>5 yılda 1</w:t>
            </w:r>
          </w:p>
        </w:tc>
        <w:tc>
          <w:tcPr>
            <w:tcW w:w="3397" w:type="dxa"/>
            <w:vAlign w:val="center"/>
          </w:tcPr>
          <w:p w14:paraId="27D556BB" w14:textId="59048BE0" w:rsidR="007503A2" w:rsidRDefault="007503A2" w:rsidP="007503A2">
            <w:r>
              <w:t>Hacim kararlılığı – Kuruma büzülmesi</w:t>
            </w:r>
          </w:p>
        </w:tc>
      </w:tr>
      <w:tr w:rsidR="000F7A6D" w14:paraId="3704C188" w14:textId="77777777" w:rsidTr="000F7A6D">
        <w:tc>
          <w:tcPr>
            <w:tcW w:w="1061" w:type="dxa"/>
            <w:vMerge w:val="restart"/>
            <w:vAlign w:val="center"/>
          </w:tcPr>
          <w:p w14:paraId="793F2319" w14:textId="6FDA5393" w:rsidR="00930C73" w:rsidRDefault="00930C73" w:rsidP="00155430">
            <w:r>
              <w:t>EN 13043</w:t>
            </w:r>
          </w:p>
        </w:tc>
        <w:tc>
          <w:tcPr>
            <w:tcW w:w="1242" w:type="dxa"/>
            <w:vMerge w:val="restart"/>
            <w:vAlign w:val="center"/>
          </w:tcPr>
          <w:p w14:paraId="063271F1" w14:textId="54ABEF84" w:rsidR="00930C73" w:rsidRPr="00040829" w:rsidRDefault="00930C73" w:rsidP="00155430">
            <w:r>
              <w:t>Bitümlü karışımlar için agregalar</w:t>
            </w:r>
          </w:p>
        </w:tc>
        <w:tc>
          <w:tcPr>
            <w:tcW w:w="1197" w:type="dxa"/>
            <w:vMerge w:val="restart"/>
            <w:vAlign w:val="center"/>
          </w:tcPr>
          <w:p w14:paraId="5849E7C4" w14:textId="424FE176" w:rsidR="00930C73" w:rsidRDefault="00930C73" w:rsidP="00155430">
            <w:r>
              <w:t>EN 13043 Ek B dikkate alınmalıdır.</w:t>
            </w:r>
          </w:p>
        </w:tc>
        <w:tc>
          <w:tcPr>
            <w:tcW w:w="1315" w:type="dxa"/>
            <w:vMerge w:val="restart"/>
            <w:vAlign w:val="center"/>
          </w:tcPr>
          <w:p w14:paraId="264D3368" w14:textId="0D8937C6" w:rsidR="00930C73" w:rsidRDefault="00930C73" w:rsidP="00155430">
            <w:r>
              <w:t>-</w:t>
            </w:r>
          </w:p>
        </w:tc>
        <w:tc>
          <w:tcPr>
            <w:tcW w:w="850" w:type="dxa"/>
            <w:vMerge w:val="restart"/>
            <w:vAlign w:val="center"/>
          </w:tcPr>
          <w:p w14:paraId="7AB9D127" w14:textId="3F2033DD" w:rsidR="00930C73" w:rsidRDefault="00930C73" w:rsidP="00930C73">
            <w:r>
              <w:t>2 yılda 1</w:t>
            </w:r>
          </w:p>
        </w:tc>
        <w:tc>
          <w:tcPr>
            <w:tcW w:w="3397" w:type="dxa"/>
            <w:vAlign w:val="center"/>
          </w:tcPr>
          <w:p w14:paraId="4599C419" w14:textId="7723832F" w:rsidR="00930C73" w:rsidRDefault="00930C73" w:rsidP="00155430">
            <w:r>
              <w:t>Tane yoğunluğu</w:t>
            </w:r>
          </w:p>
        </w:tc>
      </w:tr>
      <w:tr w:rsidR="000F7A6D" w14:paraId="46B455AD" w14:textId="77777777" w:rsidTr="000F7A6D">
        <w:tc>
          <w:tcPr>
            <w:tcW w:w="1061" w:type="dxa"/>
            <w:vMerge/>
            <w:vAlign w:val="center"/>
          </w:tcPr>
          <w:p w14:paraId="679A5019" w14:textId="77777777" w:rsidR="00930C73" w:rsidRDefault="00930C73" w:rsidP="00155430"/>
        </w:tc>
        <w:tc>
          <w:tcPr>
            <w:tcW w:w="1242" w:type="dxa"/>
            <w:vMerge/>
            <w:vAlign w:val="center"/>
          </w:tcPr>
          <w:p w14:paraId="25FFABC5" w14:textId="77777777" w:rsidR="00930C73" w:rsidRDefault="00930C73" w:rsidP="00155430"/>
        </w:tc>
        <w:tc>
          <w:tcPr>
            <w:tcW w:w="1197" w:type="dxa"/>
            <w:vMerge/>
            <w:vAlign w:val="center"/>
          </w:tcPr>
          <w:p w14:paraId="5C6D727E" w14:textId="77777777" w:rsidR="00930C73" w:rsidRDefault="00930C73" w:rsidP="00155430"/>
        </w:tc>
        <w:tc>
          <w:tcPr>
            <w:tcW w:w="1315" w:type="dxa"/>
            <w:vMerge/>
            <w:vAlign w:val="center"/>
          </w:tcPr>
          <w:p w14:paraId="6DCE2203" w14:textId="77777777" w:rsidR="00930C73" w:rsidRDefault="00930C73" w:rsidP="00155430"/>
        </w:tc>
        <w:tc>
          <w:tcPr>
            <w:tcW w:w="850" w:type="dxa"/>
            <w:vMerge/>
            <w:vAlign w:val="center"/>
          </w:tcPr>
          <w:p w14:paraId="17FBCFEB" w14:textId="001BB334" w:rsidR="00930C73" w:rsidRDefault="00930C73" w:rsidP="00930C73"/>
        </w:tc>
        <w:tc>
          <w:tcPr>
            <w:tcW w:w="3397" w:type="dxa"/>
            <w:vAlign w:val="center"/>
          </w:tcPr>
          <w:p w14:paraId="3264238B" w14:textId="7FD88DE8" w:rsidR="00930C73" w:rsidRDefault="00930C73" w:rsidP="00155430">
            <w:r>
              <w:t>Donma çözülme</w:t>
            </w:r>
          </w:p>
        </w:tc>
      </w:tr>
      <w:tr w:rsidR="000F7A6D" w14:paraId="4F8F8A74" w14:textId="77777777" w:rsidTr="000F7A6D">
        <w:tc>
          <w:tcPr>
            <w:tcW w:w="1061" w:type="dxa"/>
            <w:vMerge/>
            <w:vAlign w:val="center"/>
          </w:tcPr>
          <w:p w14:paraId="23FEC060" w14:textId="77777777" w:rsidR="00930C73" w:rsidRDefault="00930C73" w:rsidP="00155430"/>
        </w:tc>
        <w:tc>
          <w:tcPr>
            <w:tcW w:w="1242" w:type="dxa"/>
            <w:vMerge/>
            <w:vAlign w:val="center"/>
          </w:tcPr>
          <w:p w14:paraId="7F26F73E" w14:textId="77777777" w:rsidR="00930C73" w:rsidRDefault="00930C73" w:rsidP="00155430"/>
        </w:tc>
        <w:tc>
          <w:tcPr>
            <w:tcW w:w="1197" w:type="dxa"/>
            <w:vMerge/>
            <w:vAlign w:val="center"/>
          </w:tcPr>
          <w:p w14:paraId="14E7F399" w14:textId="77777777" w:rsidR="00930C73" w:rsidRDefault="00930C73" w:rsidP="00155430"/>
        </w:tc>
        <w:tc>
          <w:tcPr>
            <w:tcW w:w="1315" w:type="dxa"/>
            <w:vMerge/>
            <w:vAlign w:val="center"/>
          </w:tcPr>
          <w:p w14:paraId="2178E19E" w14:textId="77777777" w:rsidR="00930C73" w:rsidRDefault="00930C73" w:rsidP="00155430"/>
        </w:tc>
        <w:tc>
          <w:tcPr>
            <w:tcW w:w="850" w:type="dxa"/>
            <w:vMerge/>
            <w:vAlign w:val="center"/>
          </w:tcPr>
          <w:p w14:paraId="3574243E" w14:textId="32056B4D" w:rsidR="00930C73" w:rsidRDefault="00930C73" w:rsidP="00930C73"/>
        </w:tc>
        <w:tc>
          <w:tcPr>
            <w:tcW w:w="3397" w:type="dxa"/>
            <w:vAlign w:val="center"/>
          </w:tcPr>
          <w:p w14:paraId="439F410E" w14:textId="588A1DDB" w:rsidR="00930C73" w:rsidRDefault="00930C73" w:rsidP="00155430">
            <w:r>
              <w:t>Su emme</w:t>
            </w:r>
          </w:p>
        </w:tc>
      </w:tr>
      <w:tr w:rsidR="000F7A6D" w14:paraId="4F0E8DAB" w14:textId="77777777" w:rsidTr="000F7A6D">
        <w:tc>
          <w:tcPr>
            <w:tcW w:w="1061" w:type="dxa"/>
            <w:vMerge/>
            <w:vAlign w:val="center"/>
          </w:tcPr>
          <w:p w14:paraId="527BF906" w14:textId="77777777" w:rsidR="00930C73" w:rsidRDefault="00930C73" w:rsidP="00930C73"/>
        </w:tc>
        <w:tc>
          <w:tcPr>
            <w:tcW w:w="1242" w:type="dxa"/>
            <w:vMerge/>
            <w:vAlign w:val="center"/>
          </w:tcPr>
          <w:p w14:paraId="790D3DDB" w14:textId="77777777" w:rsidR="00930C73" w:rsidRDefault="00930C73" w:rsidP="00930C73"/>
        </w:tc>
        <w:tc>
          <w:tcPr>
            <w:tcW w:w="1197" w:type="dxa"/>
            <w:vMerge/>
            <w:vAlign w:val="center"/>
          </w:tcPr>
          <w:p w14:paraId="0C0B033B" w14:textId="77777777" w:rsidR="00930C73" w:rsidRDefault="00930C73" w:rsidP="00930C73"/>
        </w:tc>
        <w:tc>
          <w:tcPr>
            <w:tcW w:w="1315" w:type="dxa"/>
            <w:vMerge/>
            <w:vAlign w:val="center"/>
          </w:tcPr>
          <w:p w14:paraId="1D87ADE6" w14:textId="77777777" w:rsidR="00930C73" w:rsidRDefault="00930C73" w:rsidP="00930C73"/>
        </w:tc>
        <w:tc>
          <w:tcPr>
            <w:tcW w:w="850" w:type="dxa"/>
            <w:vMerge/>
            <w:vAlign w:val="center"/>
          </w:tcPr>
          <w:p w14:paraId="7927249F" w14:textId="239B4B69" w:rsidR="00930C73" w:rsidRDefault="00930C73" w:rsidP="00930C73"/>
        </w:tc>
        <w:tc>
          <w:tcPr>
            <w:tcW w:w="3397" w:type="dxa"/>
            <w:vAlign w:val="center"/>
          </w:tcPr>
          <w:p w14:paraId="6DB4E052" w14:textId="74A1DF3C" w:rsidR="00930C73" w:rsidRDefault="00930C73" w:rsidP="00930C73">
            <w:r>
              <w:t>Suda çözünebilirlik (sadece filler agregalar için)</w:t>
            </w:r>
          </w:p>
        </w:tc>
      </w:tr>
      <w:tr w:rsidR="000F7A6D" w14:paraId="161B812F" w14:textId="77777777" w:rsidTr="000F7A6D">
        <w:tc>
          <w:tcPr>
            <w:tcW w:w="1061" w:type="dxa"/>
            <w:vMerge/>
            <w:vAlign w:val="center"/>
          </w:tcPr>
          <w:p w14:paraId="0C523BE7" w14:textId="77777777" w:rsidR="00930C73" w:rsidRDefault="00930C73" w:rsidP="00930C73"/>
        </w:tc>
        <w:tc>
          <w:tcPr>
            <w:tcW w:w="1242" w:type="dxa"/>
            <w:vMerge/>
            <w:vAlign w:val="center"/>
          </w:tcPr>
          <w:p w14:paraId="49D0C710" w14:textId="77777777" w:rsidR="00930C73" w:rsidRDefault="00930C73" w:rsidP="00930C73"/>
        </w:tc>
        <w:tc>
          <w:tcPr>
            <w:tcW w:w="1197" w:type="dxa"/>
            <w:vMerge/>
            <w:vAlign w:val="center"/>
          </w:tcPr>
          <w:p w14:paraId="697188DA" w14:textId="77777777" w:rsidR="00930C73" w:rsidRDefault="00930C73" w:rsidP="00930C73"/>
        </w:tc>
        <w:tc>
          <w:tcPr>
            <w:tcW w:w="1315" w:type="dxa"/>
            <w:vMerge/>
            <w:vAlign w:val="center"/>
          </w:tcPr>
          <w:p w14:paraId="439BFD72" w14:textId="77777777" w:rsidR="00930C73" w:rsidRDefault="00930C73" w:rsidP="00930C73"/>
        </w:tc>
        <w:tc>
          <w:tcPr>
            <w:tcW w:w="850" w:type="dxa"/>
            <w:vMerge/>
            <w:vAlign w:val="center"/>
          </w:tcPr>
          <w:p w14:paraId="5256C79E" w14:textId="6A6B5AD4" w:rsidR="00930C73" w:rsidRDefault="00930C73" w:rsidP="00930C73"/>
        </w:tc>
        <w:tc>
          <w:tcPr>
            <w:tcW w:w="3397" w:type="dxa"/>
            <w:vAlign w:val="center"/>
          </w:tcPr>
          <w:p w14:paraId="2C1A2782" w14:textId="77777777" w:rsidR="00930C73" w:rsidRDefault="00930C73" w:rsidP="00930C73">
            <w:r>
              <w:t>Suya duyarlılık</w:t>
            </w:r>
          </w:p>
          <w:p w14:paraId="6634E3FE" w14:textId="026A5FA0" w:rsidR="00930C73" w:rsidRDefault="00930C73" w:rsidP="00930C73">
            <w:r>
              <w:t>(</w:t>
            </w:r>
            <w:proofErr w:type="gramStart"/>
            <w:r>
              <w:t>sadece</w:t>
            </w:r>
            <w:proofErr w:type="gramEnd"/>
            <w:r>
              <w:t xml:space="preserve"> filler agregalar için)</w:t>
            </w:r>
          </w:p>
        </w:tc>
      </w:tr>
      <w:tr w:rsidR="000F7A6D" w14:paraId="49C25347" w14:textId="77777777" w:rsidTr="000F7A6D">
        <w:tc>
          <w:tcPr>
            <w:tcW w:w="1061" w:type="dxa"/>
            <w:vMerge/>
            <w:vAlign w:val="center"/>
          </w:tcPr>
          <w:p w14:paraId="17DF1D02" w14:textId="77777777" w:rsidR="00930C73" w:rsidRDefault="00930C73" w:rsidP="00930C73"/>
        </w:tc>
        <w:tc>
          <w:tcPr>
            <w:tcW w:w="1242" w:type="dxa"/>
            <w:vMerge/>
            <w:vAlign w:val="center"/>
          </w:tcPr>
          <w:p w14:paraId="65689EA1" w14:textId="77777777" w:rsidR="00930C73" w:rsidRDefault="00930C73" w:rsidP="00930C73"/>
        </w:tc>
        <w:tc>
          <w:tcPr>
            <w:tcW w:w="1197" w:type="dxa"/>
            <w:vMerge/>
            <w:vAlign w:val="center"/>
          </w:tcPr>
          <w:p w14:paraId="799A7C92" w14:textId="77777777" w:rsidR="00930C73" w:rsidRDefault="00930C73" w:rsidP="00930C73"/>
        </w:tc>
        <w:tc>
          <w:tcPr>
            <w:tcW w:w="1315" w:type="dxa"/>
            <w:vMerge/>
            <w:vAlign w:val="center"/>
          </w:tcPr>
          <w:p w14:paraId="36A9F76F" w14:textId="77777777" w:rsidR="00930C73" w:rsidRDefault="00930C73" w:rsidP="00930C73"/>
        </w:tc>
        <w:tc>
          <w:tcPr>
            <w:tcW w:w="850" w:type="dxa"/>
            <w:vAlign w:val="center"/>
          </w:tcPr>
          <w:p w14:paraId="318623AF" w14:textId="7F74B791" w:rsidR="00930C73" w:rsidRDefault="00930C73" w:rsidP="00930C73">
            <w:r>
              <w:t>5 yılda 1</w:t>
            </w:r>
          </w:p>
        </w:tc>
        <w:tc>
          <w:tcPr>
            <w:tcW w:w="3397" w:type="dxa"/>
            <w:vAlign w:val="center"/>
          </w:tcPr>
          <w:p w14:paraId="0213B98F" w14:textId="3BB33D99" w:rsidR="00930C73" w:rsidRDefault="00930C73" w:rsidP="00930C73">
            <w:r>
              <w:t>Kimyasal kompozisyon</w:t>
            </w:r>
          </w:p>
        </w:tc>
      </w:tr>
      <w:tr w:rsidR="000F7A6D" w14:paraId="5B3509FB" w14:textId="77777777" w:rsidTr="000F7A6D">
        <w:tc>
          <w:tcPr>
            <w:tcW w:w="1061" w:type="dxa"/>
            <w:vMerge/>
            <w:vAlign w:val="center"/>
          </w:tcPr>
          <w:p w14:paraId="4E947C94" w14:textId="77777777" w:rsidR="00930C73" w:rsidRDefault="00930C73" w:rsidP="00930C73"/>
        </w:tc>
        <w:tc>
          <w:tcPr>
            <w:tcW w:w="1242" w:type="dxa"/>
            <w:vMerge/>
            <w:vAlign w:val="center"/>
          </w:tcPr>
          <w:p w14:paraId="317C0F56" w14:textId="77777777" w:rsidR="00930C73" w:rsidRDefault="00930C73" w:rsidP="00930C73"/>
        </w:tc>
        <w:tc>
          <w:tcPr>
            <w:tcW w:w="1197" w:type="dxa"/>
            <w:vMerge/>
            <w:vAlign w:val="center"/>
          </w:tcPr>
          <w:p w14:paraId="7F651A59" w14:textId="77777777" w:rsidR="00930C73" w:rsidRDefault="00930C73" w:rsidP="00930C73"/>
        </w:tc>
        <w:tc>
          <w:tcPr>
            <w:tcW w:w="1315" w:type="dxa"/>
            <w:vMerge/>
            <w:vAlign w:val="center"/>
          </w:tcPr>
          <w:p w14:paraId="64B0CCCE" w14:textId="77777777" w:rsidR="00930C73" w:rsidRDefault="00930C73" w:rsidP="00930C73"/>
        </w:tc>
        <w:tc>
          <w:tcPr>
            <w:tcW w:w="850" w:type="dxa"/>
            <w:vAlign w:val="center"/>
          </w:tcPr>
          <w:p w14:paraId="6DADDA11" w14:textId="52402735" w:rsidR="00930C73" w:rsidRDefault="00930C73" w:rsidP="00930C73">
            <w:r>
              <w:t>Yılda 1</w:t>
            </w:r>
          </w:p>
        </w:tc>
        <w:tc>
          <w:tcPr>
            <w:tcW w:w="3397" w:type="dxa"/>
            <w:vAlign w:val="center"/>
          </w:tcPr>
          <w:p w14:paraId="4193B935" w14:textId="1BA0D05B" w:rsidR="00930C73" w:rsidRDefault="00930C73" w:rsidP="00930C73">
            <w:r>
              <w:t>Geriye kalan ilgili tüm testler</w:t>
            </w:r>
          </w:p>
        </w:tc>
      </w:tr>
      <w:tr w:rsidR="000F7A6D" w14:paraId="08520614" w14:textId="77777777" w:rsidTr="000F7A6D">
        <w:tc>
          <w:tcPr>
            <w:tcW w:w="1061" w:type="dxa"/>
            <w:vMerge w:val="restart"/>
            <w:vAlign w:val="center"/>
          </w:tcPr>
          <w:p w14:paraId="39C42431" w14:textId="659F6A10" w:rsidR="000F7A6D" w:rsidRDefault="000F7A6D" w:rsidP="00930C73">
            <w:r>
              <w:t>EN 13055</w:t>
            </w:r>
          </w:p>
        </w:tc>
        <w:tc>
          <w:tcPr>
            <w:tcW w:w="1242" w:type="dxa"/>
            <w:vMerge w:val="restart"/>
            <w:vAlign w:val="center"/>
          </w:tcPr>
          <w:p w14:paraId="34AD4FC2" w14:textId="69DAF6BB" w:rsidR="000F7A6D" w:rsidRPr="00040829" w:rsidRDefault="000F7A6D" w:rsidP="00930C73">
            <w:r>
              <w:t>Hafif agregalar</w:t>
            </w:r>
          </w:p>
        </w:tc>
        <w:tc>
          <w:tcPr>
            <w:tcW w:w="1197" w:type="dxa"/>
            <w:vMerge w:val="restart"/>
            <w:vAlign w:val="center"/>
          </w:tcPr>
          <w:p w14:paraId="77D984CA" w14:textId="247C529F" w:rsidR="000F7A6D" w:rsidRDefault="000F7A6D" w:rsidP="00930C73">
            <w:r>
              <w:t>EN 13055 Madde 7 ve Ek G dikkate alınmalıdır.</w:t>
            </w:r>
          </w:p>
        </w:tc>
        <w:tc>
          <w:tcPr>
            <w:tcW w:w="1315" w:type="dxa"/>
            <w:vMerge w:val="restart"/>
            <w:vAlign w:val="center"/>
          </w:tcPr>
          <w:p w14:paraId="6EC825E0" w14:textId="77777777" w:rsidR="000F7A6D" w:rsidRDefault="000F7A6D" w:rsidP="00930C73"/>
        </w:tc>
        <w:tc>
          <w:tcPr>
            <w:tcW w:w="850" w:type="dxa"/>
            <w:vMerge w:val="restart"/>
            <w:vAlign w:val="center"/>
          </w:tcPr>
          <w:p w14:paraId="0F62032E" w14:textId="6831A0B2" w:rsidR="000F7A6D" w:rsidRDefault="000F7A6D" w:rsidP="000F7A6D">
            <w:r>
              <w:t>2 yılda 1</w:t>
            </w:r>
          </w:p>
        </w:tc>
        <w:tc>
          <w:tcPr>
            <w:tcW w:w="3397" w:type="dxa"/>
            <w:vAlign w:val="center"/>
          </w:tcPr>
          <w:p w14:paraId="3E20B87A" w14:textId="4106E75A" w:rsidR="000F7A6D" w:rsidRDefault="000F7A6D" w:rsidP="00930C73">
            <w:r w:rsidRPr="000F7A6D">
              <w:t>Sıkıştırılabilirlik ve sınırlı basınç dayanımı</w:t>
            </w:r>
          </w:p>
        </w:tc>
      </w:tr>
      <w:tr w:rsidR="000F7A6D" w14:paraId="5F630C6E" w14:textId="77777777" w:rsidTr="000F7A6D">
        <w:tc>
          <w:tcPr>
            <w:tcW w:w="1061" w:type="dxa"/>
            <w:vMerge/>
            <w:vAlign w:val="center"/>
          </w:tcPr>
          <w:p w14:paraId="5EA555DE" w14:textId="77777777" w:rsidR="000F7A6D" w:rsidRDefault="000F7A6D" w:rsidP="00930C73"/>
        </w:tc>
        <w:tc>
          <w:tcPr>
            <w:tcW w:w="1242" w:type="dxa"/>
            <w:vMerge/>
            <w:vAlign w:val="center"/>
          </w:tcPr>
          <w:p w14:paraId="07DC1EF6" w14:textId="77777777" w:rsidR="000F7A6D" w:rsidRDefault="000F7A6D" w:rsidP="00930C73"/>
        </w:tc>
        <w:tc>
          <w:tcPr>
            <w:tcW w:w="1197" w:type="dxa"/>
            <w:vMerge/>
            <w:vAlign w:val="center"/>
          </w:tcPr>
          <w:p w14:paraId="229C79C4" w14:textId="77777777" w:rsidR="000F7A6D" w:rsidRDefault="000F7A6D" w:rsidP="00930C73"/>
        </w:tc>
        <w:tc>
          <w:tcPr>
            <w:tcW w:w="1315" w:type="dxa"/>
            <w:vMerge/>
            <w:vAlign w:val="center"/>
          </w:tcPr>
          <w:p w14:paraId="67F82918" w14:textId="77777777" w:rsidR="000F7A6D" w:rsidRDefault="000F7A6D" w:rsidP="00930C73"/>
        </w:tc>
        <w:tc>
          <w:tcPr>
            <w:tcW w:w="850" w:type="dxa"/>
            <w:vMerge/>
            <w:vAlign w:val="center"/>
          </w:tcPr>
          <w:p w14:paraId="364D7634" w14:textId="5D866871" w:rsidR="000F7A6D" w:rsidRDefault="000F7A6D" w:rsidP="00930C73"/>
        </w:tc>
        <w:tc>
          <w:tcPr>
            <w:tcW w:w="3397" w:type="dxa"/>
            <w:vAlign w:val="center"/>
          </w:tcPr>
          <w:p w14:paraId="54BC85BA" w14:textId="073850F2" w:rsidR="000F7A6D" w:rsidRPr="000F7A6D" w:rsidRDefault="000F7A6D" w:rsidP="00930C73">
            <w:r>
              <w:t>Isıl şoka direnç</w:t>
            </w:r>
          </w:p>
        </w:tc>
      </w:tr>
      <w:tr w:rsidR="000F7A6D" w14:paraId="47196695" w14:textId="77777777" w:rsidTr="000F7A6D">
        <w:tc>
          <w:tcPr>
            <w:tcW w:w="1061" w:type="dxa"/>
            <w:vMerge/>
            <w:vAlign w:val="center"/>
          </w:tcPr>
          <w:p w14:paraId="4CBE0102" w14:textId="77777777" w:rsidR="000F7A6D" w:rsidRDefault="000F7A6D" w:rsidP="00930C73"/>
        </w:tc>
        <w:tc>
          <w:tcPr>
            <w:tcW w:w="1242" w:type="dxa"/>
            <w:vMerge/>
            <w:vAlign w:val="center"/>
          </w:tcPr>
          <w:p w14:paraId="30398E82" w14:textId="77777777" w:rsidR="000F7A6D" w:rsidRDefault="000F7A6D" w:rsidP="00930C73"/>
        </w:tc>
        <w:tc>
          <w:tcPr>
            <w:tcW w:w="1197" w:type="dxa"/>
            <w:vMerge/>
            <w:vAlign w:val="center"/>
          </w:tcPr>
          <w:p w14:paraId="2B1CD078" w14:textId="77777777" w:rsidR="000F7A6D" w:rsidRDefault="000F7A6D" w:rsidP="00930C73"/>
        </w:tc>
        <w:tc>
          <w:tcPr>
            <w:tcW w:w="1315" w:type="dxa"/>
            <w:vMerge/>
            <w:vAlign w:val="center"/>
          </w:tcPr>
          <w:p w14:paraId="0B764AC3" w14:textId="77777777" w:rsidR="000F7A6D" w:rsidRDefault="000F7A6D" w:rsidP="00930C73"/>
        </w:tc>
        <w:tc>
          <w:tcPr>
            <w:tcW w:w="850" w:type="dxa"/>
            <w:vMerge/>
            <w:vAlign w:val="center"/>
          </w:tcPr>
          <w:p w14:paraId="541ED309" w14:textId="77777777" w:rsidR="000F7A6D" w:rsidRDefault="000F7A6D" w:rsidP="00930C73"/>
        </w:tc>
        <w:tc>
          <w:tcPr>
            <w:tcW w:w="3397" w:type="dxa"/>
            <w:vAlign w:val="center"/>
          </w:tcPr>
          <w:p w14:paraId="5C7DA734" w14:textId="77777777" w:rsidR="000F7A6D" w:rsidRDefault="000F7A6D" w:rsidP="00930C73">
            <w:r w:rsidRPr="000F7A6D">
              <w:t>Parlatmaya karşı direnç</w:t>
            </w:r>
          </w:p>
          <w:p w14:paraId="3D92E2F3" w14:textId="320F1E88" w:rsidR="000F7A6D" w:rsidRDefault="000F7A6D" w:rsidP="00930C73">
            <w:r>
              <w:t>(</w:t>
            </w:r>
            <w:proofErr w:type="gramStart"/>
            <w:r w:rsidRPr="000F7A6D">
              <w:t>sadece</w:t>
            </w:r>
            <w:proofErr w:type="gramEnd"/>
            <w:r w:rsidRPr="000F7A6D">
              <w:t xml:space="preserve"> yüzey tabakaları için </w:t>
            </w:r>
            <w:r>
              <w:t>iri</w:t>
            </w:r>
            <w:r w:rsidRPr="000F7A6D">
              <w:t xml:space="preserve"> agreganın parlatılması</w:t>
            </w:r>
            <w:r>
              <w:t>)</w:t>
            </w:r>
          </w:p>
        </w:tc>
      </w:tr>
      <w:tr w:rsidR="000F7A6D" w14:paraId="65A2BEE6" w14:textId="77777777" w:rsidTr="000F7A6D">
        <w:tc>
          <w:tcPr>
            <w:tcW w:w="1061" w:type="dxa"/>
            <w:vMerge/>
          </w:tcPr>
          <w:p w14:paraId="6162D8D0" w14:textId="77777777" w:rsidR="000F7A6D" w:rsidRDefault="000F7A6D" w:rsidP="00930C73"/>
        </w:tc>
        <w:tc>
          <w:tcPr>
            <w:tcW w:w="1242" w:type="dxa"/>
            <w:vMerge/>
          </w:tcPr>
          <w:p w14:paraId="282499CD" w14:textId="77777777" w:rsidR="000F7A6D" w:rsidRDefault="000F7A6D" w:rsidP="00930C73"/>
        </w:tc>
        <w:tc>
          <w:tcPr>
            <w:tcW w:w="1197" w:type="dxa"/>
            <w:vMerge/>
          </w:tcPr>
          <w:p w14:paraId="1F2D1914" w14:textId="77777777" w:rsidR="000F7A6D" w:rsidRDefault="000F7A6D" w:rsidP="00930C73"/>
        </w:tc>
        <w:tc>
          <w:tcPr>
            <w:tcW w:w="1315" w:type="dxa"/>
            <w:vMerge/>
          </w:tcPr>
          <w:p w14:paraId="2027D24F" w14:textId="77777777" w:rsidR="000F7A6D" w:rsidRDefault="000F7A6D" w:rsidP="00930C73"/>
        </w:tc>
        <w:tc>
          <w:tcPr>
            <w:tcW w:w="850" w:type="dxa"/>
            <w:vMerge/>
            <w:vAlign w:val="center"/>
          </w:tcPr>
          <w:p w14:paraId="32BBE376" w14:textId="77777777" w:rsidR="000F7A6D" w:rsidRDefault="000F7A6D" w:rsidP="00930C73"/>
        </w:tc>
        <w:tc>
          <w:tcPr>
            <w:tcW w:w="3397" w:type="dxa"/>
            <w:vAlign w:val="center"/>
          </w:tcPr>
          <w:p w14:paraId="769D791E" w14:textId="77777777" w:rsidR="000F7A6D" w:rsidRDefault="000F7A6D" w:rsidP="00930C73">
            <w:r>
              <w:t>Suda çözünürlük</w:t>
            </w:r>
          </w:p>
          <w:p w14:paraId="6D11F9A2" w14:textId="6019FE25" w:rsidR="000F7A6D" w:rsidRPr="000F7A6D" w:rsidRDefault="000F7A6D" w:rsidP="00930C73">
            <w:r>
              <w:t>(</w:t>
            </w:r>
            <w:proofErr w:type="gramStart"/>
            <w:r>
              <w:t>bitümlü</w:t>
            </w:r>
            <w:proofErr w:type="gramEnd"/>
            <w:r>
              <w:t xml:space="preserve"> karışımlarda filler agrega için)</w:t>
            </w:r>
          </w:p>
        </w:tc>
      </w:tr>
      <w:tr w:rsidR="000F7A6D" w14:paraId="7A0C88B5" w14:textId="77777777" w:rsidTr="000F7A6D">
        <w:tc>
          <w:tcPr>
            <w:tcW w:w="1061" w:type="dxa"/>
            <w:vMerge/>
          </w:tcPr>
          <w:p w14:paraId="67D84CDF" w14:textId="77777777" w:rsidR="000F7A6D" w:rsidRDefault="000F7A6D" w:rsidP="00930C73"/>
        </w:tc>
        <w:tc>
          <w:tcPr>
            <w:tcW w:w="1242" w:type="dxa"/>
            <w:vMerge/>
          </w:tcPr>
          <w:p w14:paraId="700A038A" w14:textId="77777777" w:rsidR="000F7A6D" w:rsidRDefault="000F7A6D" w:rsidP="00930C73"/>
        </w:tc>
        <w:tc>
          <w:tcPr>
            <w:tcW w:w="1197" w:type="dxa"/>
            <w:vMerge/>
          </w:tcPr>
          <w:p w14:paraId="4B36C0FD" w14:textId="77777777" w:rsidR="000F7A6D" w:rsidRDefault="000F7A6D" w:rsidP="00930C73"/>
        </w:tc>
        <w:tc>
          <w:tcPr>
            <w:tcW w:w="1315" w:type="dxa"/>
            <w:vMerge/>
          </w:tcPr>
          <w:p w14:paraId="0E968D7E" w14:textId="77777777" w:rsidR="000F7A6D" w:rsidRDefault="000F7A6D" w:rsidP="00930C73"/>
        </w:tc>
        <w:tc>
          <w:tcPr>
            <w:tcW w:w="850" w:type="dxa"/>
            <w:vMerge/>
            <w:vAlign w:val="center"/>
          </w:tcPr>
          <w:p w14:paraId="40BEDD9C" w14:textId="77777777" w:rsidR="000F7A6D" w:rsidRDefault="000F7A6D" w:rsidP="00930C73"/>
        </w:tc>
        <w:tc>
          <w:tcPr>
            <w:tcW w:w="3397" w:type="dxa"/>
            <w:vAlign w:val="center"/>
          </w:tcPr>
          <w:p w14:paraId="75488468" w14:textId="52FBD255" w:rsidR="000F7A6D" w:rsidRDefault="000F7A6D" w:rsidP="00930C73">
            <w:r>
              <w:t>Suda çözülebilen bileşenler</w:t>
            </w:r>
          </w:p>
        </w:tc>
      </w:tr>
      <w:tr w:rsidR="000F7A6D" w14:paraId="04341D79" w14:textId="77777777" w:rsidTr="000F7A6D">
        <w:tc>
          <w:tcPr>
            <w:tcW w:w="1061" w:type="dxa"/>
            <w:vMerge/>
          </w:tcPr>
          <w:p w14:paraId="0110253E" w14:textId="77777777" w:rsidR="000F7A6D" w:rsidRDefault="000F7A6D" w:rsidP="00930C73"/>
        </w:tc>
        <w:tc>
          <w:tcPr>
            <w:tcW w:w="1242" w:type="dxa"/>
            <w:vMerge/>
          </w:tcPr>
          <w:p w14:paraId="63717F42" w14:textId="77777777" w:rsidR="000F7A6D" w:rsidRDefault="000F7A6D" w:rsidP="00930C73"/>
        </w:tc>
        <w:tc>
          <w:tcPr>
            <w:tcW w:w="1197" w:type="dxa"/>
            <w:vMerge/>
          </w:tcPr>
          <w:p w14:paraId="142BE89D" w14:textId="77777777" w:rsidR="000F7A6D" w:rsidRDefault="000F7A6D" w:rsidP="00930C73"/>
        </w:tc>
        <w:tc>
          <w:tcPr>
            <w:tcW w:w="1315" w:type="dxa"/>
            <w:vMerge/>
          </w:tcPr>
          <w:p w14:paraId="7387819C" w14:textId="77777777" w:rsidR="000F7A6D" w:rsidRDefault="000F7A6D" w:rsidP="00930C73"/>
        </w:tc>
        <w:tc>
          <w:tcPr>
            <w:tcW w:w="850" w:type="dxa"/>
            <w:vAlign w:val="center"/>
          </w:tcPr>
          <w:p w14:paraId="30842ED1" w14:textId="31FBCB5C" w:rsidR="000F7A6D" w:rsidRDefault="000F7A6D" w:rsidP="00930C73">
            <w:r>
              <w:t>3 yılda 1</w:t>
            </w:r>
          </w:p>
        </w:tc>
        <w:tc>
          <w:tcPr>
            <w:tcW w:w="3397" w:type="dxa"/>
            <w:vAlign w:val="center"/>
          </w:tcPr>
          <w:p w14:paraId="5A04C631" w14:textId="0870E3ED" w:rsidR="000F7A6D" w:rsidRPr="000F7A6D" w:rsidRDefault="000F7A6D" w:rsidP="00930C73">
            <w:r w:rsidRPr="000F7A6D">
              <w:t>Döngüsel sıkıştırma yüklemesine karşı direnç</w:t>
            </w:r>
          </w:p>
        </w:tc>
      </w:tr>
      <w:tr w:rsidR="00F67D7C" w14:paraId="1A4C33BC" w14:textId="77777777" w:rsidTr="00F67D7C">
        <w:tc>
          <w:tcPr>
            <w:tcW w:w="1061" w:type="dxa"/>
            <w:vMerge w:val="restart"/>
            <w:vAlign w:val="center"/>
          </w:tcPr>
          <w:p w14:paraId="1D9343D9" w14:textId="35B5DC27" w:rsidR="00F67D7C" w:rsidRDefault="00F67D7C" w:rsidP="00930C73">
            <w:r>
              <w:t>EN 13139</w:t>
            </w:r>
          </w:p>
        </w:tc>
        <w:tc>
          <w:tcPr>
            <w:tcW w:w="1242" w:type="dxa"/>
            <w:vMerge w:val="restart"/>
            <w:vAlign w:val="center"/>
          </w:tcPr>
          <w:p w14:paraId="359E8E09" w14:textId="77C08C5A" w:rsidR="00F67D7C" w:rsidRPr="00040829" w:rsidRDefault="00F67D7C" w:rsidP="00930C73">
            <w:r>
              <w:t>Harç agregaları</w:t>
            </w:r>
          </w:p>
        </w:tc>
        <w:tc>
          <w:tcPr>
            <w:tcW w:w="1197" w:type="dxa"/>
            <w:vMerge w:val="restart"/>
            <w:vAlign w:val="center"/>
          </w:tcPr>
          <w:p w14:paraId="1EBBBD92" w14:textId="25C2F292" w:rsidR="00F67D7C" w:rsidRDefault="00F67D7C" w:rsidP="00930C73">
            <w:r>
              <w:t>EN 13139 Ek E dikkate alınmalıdır.</w:t>
            </w:r>
          </w:p>
        </w:tc>
        <w:tc>
          <w:tcPr>
            <w:tcW w:w="1315" w:type="dxa"/>
            <w:vMerge w:val="restart"/>
            <w:vAlign w:val="center"/>
          </w:tcPr>
          <w:p w14:paraId="23645CC3" w14:textId="42E09BBD" w:rsidR="00F67D7C" w:rsidRDefault="00F67D7C" w:rsidP="00930C73">
            <w:r>
              <w:t>-</w:t>
            </w:r>
          </w:p>
        </w:tc>
        <w:tc>
          <w:tcPr>
            <w:tcW w:w="850" w:type="dxa"/>
            <w:vAlign w:val="center"/>
          </w:tcPr>
          <w:p w14:paraId="5C476CB2" w14:textId="4E6AB351" w:rsidR="00F67D7C" w:rsidRDefault="00F67D7C" w:rsidP="00930C73">
            <w:r>
              <w:t>2 yılda 1</w:t>
            </w:r>
          </w:p>
        </w:tc>
        <w:tc>
          <w:tcPr>
            <w:tcW w:w="3397" w:type="dxa"/>
            <w:vAlign w:val="center"/>
          </w:tcPr>
          <w:p w14:paraId="25390B6E" w14:textId="77777777" w:rsidR="00F67D7C" w:rsidRDefault="00F67D7C" w:rsidP="00F67D7C">
            <w:r>
              <w:t>Klorür muhtevası</w:t>
            </w:r>
          </w:p>
          <w:p w14:paraId="3B21C9EC" w14:textId="187ECC99" w:rsidR="00F67D7C" w:rsidRDefault="00F67D7C" w:rsidP="00F67D7C">
            <w:r>
              <w:t>(Deniz agregası haricindeki agregalar)</w:t>
            </w:r>
          </w:p>
        </w:tc>
      </w:tr>
      <w:tr w:rsidR="00F67D7C" w14:paraId="4A5D1243" w14:textId="77777777" w:rsidTr="00F67D7C">
        <w:tc>
          <w:tcPr>
            <w:tcW w:w="1061" w:type="dxa"/>
            <w:vMerge/>
            <w:vAlign w:val="center"/>
          </w:tcPr>
          <w:p w14:paraId="31F3DDAB" w14:textId="77777777" w:rsidR="00F67D7C" w:rsidRDefault="00F67D7C" w:rsidP="00F67D7C"/>
        </w:tc>
        <w:tc>
          <w:tcPr>
            <w:tcW w:w="1242" w:type="dxa"/>
            <w:vMerge/>
            <w:vAlign w:val="center"/>
          </w:tcPr>
          <w:p w14:paraId="738BC043" w14:textId="77777777" w:rsidR="00F67D7C" w:rsidRDefault="00F67D7C" w:rsidP="00F67D7C"/>
        </w:tc>
        <w:tc>
          <w:tcPr>
            <w:tcW w:w="1197" w:type="dxa"/>
            <w:vMerge/>
            <w:vAlign w:val="center"/>
          </w:tcPr>
          <w:p w14:paraId="535BADB2" w14:textId="77777777" w:rsidR="00F67D7C" w:rsidRDefault="00F67D7C" w:rsidP="00F67D7C"/>
        </w:tc>
        <w:tc>
          <w:tcPr>
            <w:tcW w:w="1315" w:type="dxa"/>
            <w:vMerge/>
            <w:vAlign w:val="center"/>
          </w:tcPr>
          <w:p w14:paraId="7F235A1B" w14:textId="77777777" w:rsidR="00F67D7C" w:rsidRDefault="00F67D7C" w:rsidP="00F67D7C"/>
        </w:tc>
        <w:tc>
          <w:tcPr>
            <w:tcW w:w="850" w:type="dxa"/>
            <w:vAlign w:val="center"/>
          </w:tcPr>
          <w:p w14:paraId="0A44B2DA" w14:textId="2C889FCB" w:rsidR="00F67D7C" w:rsidRDefault="00F67D7C" w:rsidP="00F67D7C">
            <w:r>
              <w:t>Yılda 1</w:t>
            </w:r>
          </w:p>
        </w:tc>
        <w:tc>
          <w:tcPr>
            <w:tcW w:w="3397" w:type="dxa"/>
            <w:vAlign w:val="center"/>
          </w:tcPr>
          <w:p w14:paraId="088DFE2F" w14:textId="106703CB" w:rsidR="00F67D7C" w:rsidRDefault="00F67D7C" w:rsidP="00F67D7C">
            <w:r>
              <w:t>Geriye kalan ilgili tüm testler</w:t>
            </w:r>
          </w:p>
        </w:tc>
      </w:tr>
      <w:tr w:rsidR="00F67D7C" w14:paraId="20D38E64" w14:textId="77777777" w:rsidTr="00F67D7C">
        <w:trPr>
          <w:trHeight w:val="1382"/>
        </w:trPr>
        <w:tc>
          <w:tcPr>
            <w:tcW w:w="1061" w:type="dxa"/>
            <w:vMerge w:val="restart"/>
            <w:vAlign w:val="center"/>
          </w:tcPr>
          <w:p w14:paraId="692FFBDF" w14:textId="2E61D41E" w:rsidR="00F67D7C" w:rsidRDefault="00F67D7C" w:rsidP="00930C73">
            <w:r>
              <w:t>EN 13242</w:t>
            </w:r>
          </w:p>
        </w:tc>
        <w:tc>
          <w:tcPr>
            <w:tcW w:w="1242" w:type="dxa"/>
            <w:vMerge w:val="restart"/>
            <w:vAlign w:val="center"/>
          </w:tcPr>
          <w:p w14:paraId="70DE92CB" w14:textId="35510B1E" w:rsidR="00F67D7C" w:rsidRPr="00040829" w:rsidRDefault="00F67D7C" w:rsidP="00F67D7C">
            <w:r>
              <w:t xml:space="preserve">İnşaat mühendisliği işleri ve yol yapımında Kullanılan </w:t>
            </w:r>
            <w:proofErr w:type="spellStart"/>
            <w:r>
              <w:t>bağlayıcısız</w:t>
            </w:r>
            <w:proofErr w:type="spellEnd"/>
            <w:r>
              <w:t xml:space="preserve"> ve hidrolik bağlayıcılı Malzemeler için agregalar</w:t>
            </w:r>
          </w:p>
        </w:tc>
        <w:tc>
          <w:tcPr>
            <w:tcW w:w="1197" w:type="dxa"/>
            <w:vMerge w:val="restart"/>
            <w:vAlign w:val="center"/>
          </w:tcPr>
          <w:p w14:paraId="25B26E75" w14:textId="0127BDA7" w:rsidR="00F67D7C" w:rsidRDefault="00F67D7C" w:rsidP="00930C73">
            <w:r>
              <w:t>EN 13242 Ek C dikkate alınmalıdır.</w:t>
            </w:r>
          </w:p>
        </w:tc>
        <w:tc>
          <w:tcPr>
            <w:tcW w:w="1315" w:type="dxa"/>
            <w:vMerge w:val="restart"/>
            <w:vAlign w:val="center"/>
          </w:tcPr>
          <w:p w14:paraId="494449F5" w14:textId="6CA360BE" w:rsidR="00F67D7C" w:rsidRDefault="00F67D7C" w:rsidP="00930C73">
            <w:r>
              <w:t>-</w:t>
            </w:r>
          </w:p>
        </w:tc>
        <w:tc>
          <w:tcPr>
            <w:tcW w:w="850" w:type="dxa"/>
            <w:vAlign w:val="center"/>
          </w:tcPr>
          <w:p w14:paraId="5BD61278" w14:textId="440F2CB0" w:rsidR="00F67D7C" w:rsidRDefault="00F67D7C" w:rsidP="00930C73">
            <w:r>
              <w:t>2 yılda 1</w:t>
            </w:r>
          </w:p>
        </w:tc>
        <w:tc>
          <w:tcPr>
            <w:tcW w:w="3397" w:type="dxa"/>
            <w:vAlign w:val="center"/>
          </w:tcPr>
          <w:p w14:paraId="3E8F76F6" w14:textId="148BFFFF" w:rsidR="00F67D7C" w:rsidRDefault="00F67D7C" w:rsidP="00930C73">
            <w:r>
              <w:t>Donma çözülmeye karşı direnç</w:t>
            </w:r>
          </w:p>
        </w:tc>
      </w:tr>
      <w:tr w:rsidR="00F67D7C" w14:paraId="3AE1E8C3" w14:textId="77777777" w:rsidTr="00F67D7C">
        <w:tc>
          <w:tcPr>
            <w:tcW w:w="1061" w:type="dxa"/>
            <w:vMerge/>
            <w:vAlign w:val="center"/>
          </w:tcPr>
          <w:p w14:paraId="3F1DF4C6" w14:textId="77777777" w:rsidR="00F67D7C" w:rsidRDefault="00F67D7C" w:rsidP="00F67D7C"/>
        </w:tc>
        <w:tc>
          <w:tcPr>
            <w:tcW w:w="1242" w:type="dxa"/>
            <w:vMerge/>
            <w:vAlign w:val="center"/>
          </w:tcPr>
          <w:p w14:paraId="7B44377A" w14:textId="77777777" w:rsidR="00F67D7C" w:rsidRDefault="00F67D7C" w:rsidP="00F67D7C"/>
        </w:tc>
        <w:tc>
          <w:tcPr>
            <w:tcW w:w="1197" w:type="dxa"/>
            <w:vMerge/>
            <w:vAlign w:val="center"/>
          </w:tcPr>
          <w:p w14:paraId="03114493" w14:textId="77777777" w:rsidR="00F67D7C" w:rsidRDefault="00F67D7C" w:rsidP="00F67D7C"/>
        </w:tc>
        <w:tc>
          <w:tcPr>
            <w:tcW w:w="1315" w:type="dxa"/>
            <w:vMerge/>
            <w:vAlign w:val="center"/>
          </w:tcPr>
          <w:p w14:paraId="48807B9E" w14:textId="77777777" w:rsidR="00F67D7C" w:rsidRDefault="00F67D7C" w:rsidP="00F67D7C"/>
        </w:tc>
        <w:tc>
          <w:tcPr>
            <w:tcW w:w="850" w:type="dxa"/>
            <w:vAlign w:val="center"/>
          </w:tcPr>
          <w:p w14:paraId="0413296E" w14:textId="633419E3" w:rsidR="00F67D7C" w:rsidRDefault="00F67D7C" w:rsidP="00F67D7C">
            <w:r>
              <w:t>Yılda 1</w:t>
            </w:r>
          </w:p>
        </w:tc>
        <w:tc>
          <w:tcPr>
            <w:tcW w:w="3397" w:type="dxa"/>
            <w:vAlign w:val="center"/>
          </w:tcPr>
          <w:p w14:paraId="6E2920F2" w14:textId="60D20091" w:rsidR="00F67D7C" w:rsidRDefault="00F67D7C" w:rsidP="00F67D7C">
            <w:r>
              <w:t>Geriye kalan ilgili tüm testler</w:t>
            </w:r>
          </w:p>
        </w:tc>
      </w:tr>
      <w:tr w:rsidR="00F67D7C" w14:paraId="02BED563" w14:textId="77777777" w:rsidTr="000F7A6D">
        <w:tc>
          <w:tcPr>
            <w:tcW w:w="1061" w:type="dxa"/>
          </w:tcPr>
          <w:p w14:paraId="59FE47D6" w14:textId="3BFB0257" w:rsidR="00F67D7C" w:rsidRDefault="00F67D7C" w:rsidP="00F67D7C">
            <w:r>
              <w:lastRenderedPageBreak/>
              <w:t>EN 13450</w:t>
            </w:r>
          </w:p>
        </w:tc>
        <w:tc>
          <w:tcPr>
            <w:tcW w:w="1242" w:type="dxa"/>
          </w:tcPr>
          <w:p w14:paraId="0B16BCE1" w14:textId="1F65E9CF" w:rsidR="00F67D7C" w:rsidRPr="00040829" w:rsidRDefault="00F47368" w:rsidP="00F67D7C">
            <w:r w:rsidRPr="00F47368">
              <w:t>Demiryolu balastları için agregalar</w:t>
            </w:r>
          </w:p>
        </w:tc>
        <w:tc>
          <w:tcPr>
            <w:tcW w:w="1197" w:type="dxa"/>
          </w:tcPr>
          <w:p w14:paraId="0258B8F1" w14:textId="6008329B" w:rsidR="00F67D7C" w:rsidRDefault="00F67D7C" w:rsidP="00F67D7C">
            <w:r>
              <w:t>EN 13450 Ek I dikkate alınmalıdır.</w:t>
            </w:r>
          </w:p>
        </w:tc>
        <w:tc>
          <w:tcPr>
            <w:tcW w:w="1315" w:type="dxa"/>
          </w:tcPr>
          <w:p w14:paraId="20BBA7AE" w14:textId="77777777" w:rsidR="00F67D7C" w:rsidRDefault="00F67D7C" w:rsidP="00F67D7C"/>
        </w:tc>
        <w:tc>
          <w:tcPr>
            <w:tcW w:w="850" w:type="dxa"/>
          </w:tcPr>
          <w:p w14:paraId="5A1C858B" w14:textId="0DEB177C" w:rsidR="00F67D7C" w:rsidRDefault="00F67D7C" w:rsidP="00F67D7C">
            <w:r>
              <w:t>Yılda 1</w:t>
            </w:r>
          </w:p>
        </w:tc>
        <w:tc>
          <w:tcPr>
            <w:tcW w:w="3397" w:type="dxa"/>
          </w:tcPr>
          <w:p w14:paraId="133C1358" w14:textId="171D063E" w:rsidR="00F67D7C" w:rsidRDefault="00F67D7C" w:rsidP="00F67D7C">
            <w:r>
              <w:t>İlgili tüm testler</w:t>
            </w:r>
          </w:p>
        </w:tc>
      </w:tr>
      <w:tr w:rsidR="000278F3" w14:paraId="378BEE0E" w14:textId="77777777" w:rsidTr="000278F3">
        <w:tc>
          <w:tcPr>
            <w:tcW w:w="1061" w:type="dxa"/>
            <w:vMerge w:val="restart"/>
            <w:vAlign w:val="center"/>
          </w:tcPr>
          <w:p w14:paraId="73E8CEB5" w14:textId="1BEE042A" w:rsidR="000278F3" w:rsidRDefault="000278F3" w:rsidP="00F67D7C">
            <w:r>
              <w:t>EN 13383-1</w:t>
            </w:r>
          </w:p>
        </w:tc>
        <w:tc>
          <w:tcPr>
            <w:tcW w:w="1242" w:type="dxa"/>
            <w:vMerge w:val="restart"/>
            <w:vAlign w:val="center"/>
          </w:tcPr>
          <w:p w14:paraId="454EF7C1" w14:textId="049E1DB0" w:rsidR="000278F3" w:rsidRPr="00040829" w:rsidRDefault="000278F3" w:rsidP="00F67D7C">
            <w:r w:rsidRPr="00F47368">
              <w:t>Koruma tabakası taşları (zırh taşı)</w:t>
            </w:r>
          </w:p>
        </w:tc>
        <w:tc>
          <w:tcPr>
            <w:tcW w:w="1197" w:type="dxa"/>
            <w:vMerge w:val="restart"/>
            <w:vAlign w:val="center"/>
          </w:tcPr>
          <w:p w14:paraId="018386A7" w14:textId="13415814" w:rsidR="000278F3" w:rsidRDefault="000278F3" w:rsidP="00F67D7C">
            <w:r>
              <w:t>EN 13383-1 Ek D dikkate alınmalıdır.</w:t>
            </w:r>
          </w:p>
        </w:tc>
        <w:tc>
          <w:tcPr>
            <w:tcW w:w="1315" w:type="dxa"/>
            <w:vMerge w:val="restart"/>
            <w:vAlign w:val="center"/>
          </w:tcPr>
          <w:p w14:paraId="2DD1587C" w14:textId="4CDCA2B9" w:rsidR="000278F3" w:rsidRDefault="000278F3" w:rsidP="00F67D7C">
            <w:r>
              <w:t>-</w:t>
            </w:r>
          </w:p>
        </w:tc>
        <w:tc>
          <w:tcPr>
            <w:tcW w:w="850" w:type="dxa"/>
            <w:vMerge w:val="restart"/>
            <w:vAlign w:val="center"/>
          </w:tcPr>
          <w:p w14:paraId="533C6025" w14:textId="710A0C94" w:rsidR="000278F3" w:rsidRDefault="000278F3" w:rsidP="00F67D7C">
            <w:r>
              <w:t>5 yılda 1</w:t>
            </w:r>
          </w:p>
        </w:tc>
        <w:tc>
          <w:tcPr>
            <w:tcW w:w="3397" w:type="dxa"/>
            <w:vAlign w:val="center"/>
          </w:tcPr>
          <w:p w14:paraId="4E413B47" w14:textId="012247B8" w:rsidR="000278F3" w:rsidRDefault="000278F3" w:rsidP="00F67D7C">
            <w:r>
              <w:t>Kırılmaya dayanım</w:t>
            </w:r>
          </w:p>
        </w:tc>
      </w:tr>
      <w:tr w:rsidR="000278F3" w14:paraId="30F6D966" w14:textId="77777777" w:rsidTr="000278F3">
        <w:tc>
          <w:tcPr>
            <w:tcW w:w="1061" w:type="dxa"/>
            <w:vMerge/>
            <w:vAlign w:val="center"/>
          </w:tcPr>
          <w:p w14:paraId="12168C80" w14:textId="77777777" w:rsidR="000278F3" w:rsidRDefault="000278F3" w:rsidP="00F67D7C"/>
        </w:tc>
        <w:tc>
          <w:tcPr>
            <w:tcW w:w="1242" w:type="dxa"/>
            <w:vMerge/>
            <w:vAlign w:val="center"/>
          </w:tcPr>
          <w:p w14:paraId="0618B537" w14:textId="77777777" w:rsidR="000278F3" w:rsidRPr="00F47368" w:rsidRDefault="000278F3" w:rsidP="00F67D7C"/>
        </w:tc>
        <w:tc>
          <w:tcPr>
            <w:tcW w:w="1197" w:type="dxa"/>
            <w:vMerge/>
            <w:vAlign w:val="center"/>
          </w:tcPr>
          <w:p w14:paraId="7CECA09F" w14:textId="77777777" w:rsidR="000278F3" w:rsidRDefault="000278F3" w:rsidP="00F67D7C"/>
        </w:tc>
        <w:tc>
          <w:tcPr>
            <w:tcW w:w="1315" w:type="dxa"/>
            <w:vMerge/>
            <w:vAlign w:val="center"/>
          </w:tcPr>
          <w:p w14:paraId="1CDAE2F5" w14:textId="77777777" w:rsidR="000278F3" w:rsidRDefault="000278F3" w:rsidP="00F67D7C"/>
        </w:tc>
        <w:tc>
          <w:tcPr>
            <w:tcW w:w="850" w:type="dxa"/>
            <w:vMerge/>
            <w:vAlign w:val="center"/>
          </w:tcPr>
          <w:p w14:paraId="144199C3" w14:textId="77777777" w:rsidR="000278F3" w:rsidRDefault="000278F3" w:rsidP="00F67D7C"/>
        </w:tc>
        <w:tc>
          <w:tcPr>
            <w:tcW w:w="3397" w:type="dxa"/>
            <w:vAlign w:val="center"/>
          </w:tcPr>
          <w:p w14:paraId="33B48FA1" w14:textId="0E5A76CE" w:rsidR="000278F3" w:rsidRDefault="000278F3" w:rsidP="00F67D7C">
            <w:r>
              <w:t>Petrografik tanımlama</w:t>
            </w:r>
          </w:p>
        </w:tc>
      </w:tr>
      <w:tr w:rsidR="000278F3" w14:paraId="5878FB37" w14:textId="77777777" w:rsidTr="000278F3">
        <w:tc>
          <w:tcPr>
            <w:tcW w:w="1061" w:type="dxa"/>
            <w:vMerge/>
            <w:vAlign w:val="center"/>
          </w:tcPr>
          <w:p w14:paraId="4733768E" w14:textId="77777777" w:rsidR="000278F3" w:rsidRDefault="000278F3" w:rsidP="00F67D7C"/>
        </w:tc>
        <w:tc>
          <w:tcPr>
            <w:tcW w:w="1242" w:type="dxa"/>
            <w:vMerge/>
            <w:vAlign w:val="center"/>
          </w:tcPr>
          <w:p w14:paraId="1C57FC81" w14:textId="77777777" w:rsidR="000278F3" w:rsidRPr="00F47368" w:rsidRDefault="000278F3" w:rsidP="00F67D7C"/>
        </w:tc>
        <w:tc>
          <w:tcPr>
            <w:tcW w:w="1197" w:type="dxa"/>
            <w:vMerge/>
            <w:vAlign w:val="center"/>
          </w:tcPr>
          <w:p w14:paraId="767EAF4F" w14:textId="77777777" w:rsidR="000278F3" w:rsidRDefault="000278F3" w:rsidP="00F67D7C"/>
        </w:tc>
        <w:tc>
          <w:tcPr>
            <w:tcW w:w="1315" w:type="dxa"/>
            <w:vMerge/>
            <w:vAlign w:val="center"/>
          </w:tcPr>
          <w:p w14:paraId="751870B8" w14:textId="77777777" w:rsidR="000278F3" w:rsidRDefault="000278F3" w:rsidP="00F67D7C"/>
        </w:tc>
        <w:tc>
          <w:tcPr>
            <w:tcW w:w="850" w:type="dxa"/>
            <w:vMerge w:val="restart"/>
            <w:vAlign w:val="center"/>
          </w:tcPr>
          <w:p w14:paraId="45A928F9" w14:textId="5D17568D" w:rsidR="000278F3" w:rsidRDefault="000278F3" w:rsidP="00F67D7C">
            <w:r>
              <w:t>2 yılda 1</w:t>
            </w:r>
          </w:p>
        </w:tc>
        <w:tc>
          <w:tcPr>
            <w:tcW w:w="3397" w:type="dxa"/>
            <w:vAlign w:val="center"/>
          </w:tcPr>
          <w:p w14:paraId="0595A21E" w14:textId="26AC4EAD" w:rsidR="000278F3" w:rsidRDefault="000278F3" w:rsidP="00F67D7C">
            <w:r>
              <w:t>Aşınma direnci</w:t>
            </w:r>
          </w:p>
        </w:tc>
      </w:tr>
      <w:tr w:rsidR="000278F3" w14:paraId="1E7E8E98" w14:textId="77777777" w:rsidTr="000278F3">
        <w:tc>
          <w:tcPr>
            <w:tcW w:w="1061" w:type="dxa"/>
            <w:vMerge/>
            <w:vAlign w:val="center"/>
          </w:tcPr>
          <w:p w14:paraId="2F96F972" w14:textId="77777777" w:rsidR="000278F3" w:rsidRDefault="000278F3" w:rsidP="00F67D7C"/>
        </w:tc>
        <w:tc>
          <w:tcPr>
            <w:tcW w:w="1242" w:type="dxa"/>
            <w:vMerge/>
            <w:vAlign w:val="center"/>
          </w:tcPr>
          <w:p w14:paraId="4DEC69A6" w14:textId="77777777" w:rsidR="000278F3" w:rsidRPr="00F47368" w:rsidRDefault="000278F3" w:rsidP="00F67D7C"/>
        </w:tc>
        <w:tc>
          <w:tcPr>
            <w:tcW w:w="1197" w:type="dxa"/>
            <w:vMerge/>
            <w:vAlign w:val="center"/>
          </w:tcPr>
          <w:p w14:paraId="019DD9FA" w14:textId="77777777" w:rsidR="000278F3" w:rsidRDefault="000278F3" w:rsidP="00F67D7C"/>
        </w:tc>
        <w:tc>
          <w:tcPr>
            <w:tcW w:w="1315" w:type="dxa"/>
            <w:vMerge/>
            <w:vAlign w:val="center"/>
          </w:tcPr>
          <w:p w14:paraId="1FC0090A" w14:textId="77777777" w:rsidR="000278F3" w:rsidRDefault="000278F3" w:rsidP="00F67D7C"/>
        </w:tc>
        <w:tc>
          <w:tcPr>
            <w:tcW w:w="850" w:type="dxa"/>
            <w:vMerge/>
            <w:vAlign w:val="center"/>
          </w:tcPr>
          <w:p w14:paraId="25278779" w14:textId="77777777" w:rsidR="000278F3" w:rsidRDefault="000278F3" w:rsidP="00F67D7C"/>
        </w:tc>
        <w:tc>
          <w:tcPr>
            <w:tcW w:w="3397" w:type="dxa"/>
            <w:vAlign w:val="center"/>
          </w:tcPr>
          <w:p w14:paraId="7884ECD5" w14:textId="6DF1244C" w:rsidR="000278F3" w:rsidRDefault="000278F3" w:rsidP="00F67D7C">
            <w:r>
              <w:t>Donma Çözülme direnci</w:t>
            </w:r>
          </w:p>
        </w:tc>
      </w:tr>
      <w:tr w:rsidR="000278F3" w14:paraId="67EF1BFA" w14:textId="77777777" w:rsidTr="000278F3">
        <w:tc>
          <w:tcPr>
            <w:tcW w:w="1061" w:type="dxa"/>
            <w:vMerge/>
            <w:vAlign w:val="center"/>
          </w:tcPr>
          <w:p w14:paraId="2E9BD474" w14:textId="77777777" w:rsidR="000278F3" w:rsidRDefault="000278F3" w:rsidP="00F67D7C"/>
        </w:tc>
        <w:tc>
          <w:tcPr>
            <w:tcW w:w="1242" w:type="dxa"/>
            <w:vMerge/>
            <w:vAlign w:val="center"/>
          </w:tcPr>
          <w:p w14:paraId="2B3236B1" w14:textId="77777777" w:rsidR="000278F3" w:rsidRPr="00F47368" w:rsidRDefault="000278F3" w:rsidP="00F67D7C"/>
        </w:tc>
        <w:tc>
          <w:tcPr>
            <w:tcW w:w="1197" w:type="dxa"/>
            <w:vMerge/>
            <w:vAlign w:val="center"/>
          </w:tcPr>
          <w:p w14:paraId="4068E1E4" w14:textId="77777777" w:rsidR="000278F3" w:rsidRDefault="000278F3" w:rsidP="00F67D7C"/>
        </w:tc>
        <w:tc>
          <w:tcPr>
            <w:tcW w:w="1315" w:type="dxa"/>
            <w:vMerge/>
            <w:vAlign w:val="center"/>
          </w:tcPr>
          <w:p w14:paraId="12AECD82" w14:textId="77777777" w:rsidR="000278F3" w:rsidRDefault="000278F3" w:rsidP="00F67D7C"/>
        </w:tc>
        <w:tc>
          <w:tcPr>
            <w:tcW w:w="850" w:type="dxa"/>
            <w:vMerge/>
            <w:vAlign w:val="center"/>
          </w:tcPr>
          <w:p w14:paraId="570EBA5C" w14:textId="77777777" w:rsidR="000278F3" w:rsidRDefault="000278F3" w:rsidP="00F67D7C"/>
        </w:tc>
        <w:tc>
          <w:tcPr>
            <w:tcW w:w="3397" w:type="dxa"/>
            <w:vAlign w:val="center"/>
          </w:tcPr>
          <w:p w14:paraId="6B1035DC" w14:textId="465BA82E" w:rsidR="000278F3" w:rsidRDefault="000278F3" w:rsidP="00F67D7C">
            <w:r>
              <w:t>Tuz kristalleşmesine direnç</w:t>
            </w:r>
          </w:p>
        </w:tc>
      </w:tr>
      <w:tr w:rsidR="000278F3" w14:paraId="24D4B21D" w14:textId="77777777" w:rsidTr="000278F3">
        <w:tc>
          <w:tcPr>
            <w:tcW w:w="1061" w:type="dxa"/>
            <w:vMerge/>
            <w:vAlign w:val="center"/>
          </w:tcPr>
          <w:p w14:paraId="322914BB" w14:textId="77777777" w:rsidR="000278F3" w:rsidRDefault="000278F3" w:rsidP="00F67D7C"/>
        </w:tc>
        <w:tc>
          <w:tcPr>
            <w:tcW w:w="1242" w:type="dxa"/>
            <w:vMerge/>
            <w:vAlign w:val="center"/>
          </w:tcPr>
          <w:p w14:paraId="6D0D0DAB" w14:textId="77777777" w:rsidR="000278F3" w:rsidRPr="00F47368" w:rsidRDefault="000278F3" w:rsidP="00F67D7C"/>
        </w:tc>
        <w:tc>
          <w:tcPr>
            <w:tcW w:w="1197" w:type="dxa"/>
            <w:vMerge/>
            <w:vAlign w:val="center"/>
          </w:tcPr>
          <w:p w14:paraId="28D23AC1" w14:textId="77777777" w:rsidR="000278F3" w:rsidRDefault="000278F3" w:rsidP="00F67D7C"/>
        </w:tc>
        <w:tc>
          <w:tcPr>
            <w:tcW w:w="1315" w:type="dxa"/>
            <w:vMerge/>
            <w:vAlign w:val="center"/>
          </w:tcPr>
          <w:p w14:paraId="2424CBAB" w14:textId="77777777" w:rsidR="000278F3" w:rsidRDefault="000278F3" w:rsidP="00F67D7C"/>
        </w:tc>
        <w:tc>
          <w:tcPr>
            <w:tcW w:w="850" w:type="dxa"/>
            <w:vAlign w:val="center"/>
          </w:tcPr>
          <w:p w14:paraId="32A61286" w14:textId="30B774E9" w:rsidR="000278F3" w:rsidRDefault="000278F3" w:rsidP="00F67D7C">
            <w:r>
              <w:t>Yılda 1</w:t>
            </w:r>
          </w:p>
        </w:tc>
        <w:tc>
          <w:tcPr>
            <w:tcW w:w="3397" w:type="dxa"/>
            <w:vAlign w:val="center"/>
          </w:tcPr>
          <w:p w14:paraId="28216963" w14:textId="3460237C" w:rsidR="000278F3" w:rsidRDefault="000278F3" w:rsidP="00F67D7C">
            <w:r>
              <w:t>Geriye kalan ilgili tüm testler</w:t>
            </w:r>
          </w:p>
        </w:tc>
      </w:tr>
    </w:tbl>
    <w:p w14:paraId="57B53A1D" w14:textId="77777777" w:rsidR="005A56F7" w:rsidRDefault="005A56F7" w:rsidP="002A02C5"/>
    <w:sectPr w:rsidR="005A56F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A220" w14:textId="77777777" w:rsidR="00D1097E" w:rsidRDefault="00D1097E" w:rsidP="00F505B1">
      <w:pPr>
        <w:spacing w:after="0" w:line="240" w:lineRule="auto"/>
      </w:pPr>
      <w:r>
        <w:separator/>
      </w:r>
    </w:p>
  </w:endnote>
  <w:endnote w:type="continuationSeparator" w:id="0">
    <w:p w14:paraId="1677C5C4" w14:textId="77777777" w:rsidR="00D1097E" w:rsidRDefault="00D1097E" w:rsidP="00F5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92AB" w14:textId="77777777" w:rsidR="000418FA" w:rsidRDefault="000418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B0C8" w14:textId="77777777" w:rsidR="000418FA" w:rsidRDefault="000418F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E0AC" w14:textId="77777777" w:rsidR="000418FA" w:rsidRDefault="000418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7CF50" w14:textId="77777777" w:rsidR="00D1097E" w:rsidRDefault="00D1097E" w:rsidP="00F505B1">
      <w:pPr>
        <w:spacing w:after="0" w:line="240" w:lineRule="auto"/>
      </w:pPr>
      <w:r>
        <w:separator/>
      </w:r>
    </w:p>
  </w:footnote>
  <w:footnote w:type="continuationSeparator" w:id="0">
    <w:p w14:paraId="3912609E" w14:textId="77777777" w:rsidR="00D1097E" w:rsidRDefault="00D1097E" w:rsidP="00F5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6ED1" w14:textId="77777777" w:rsidR="000418FA" w:rsidRDefault="000418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
      <w:tblW w:w="0" w:type="auto"/>
      <w:jc w:val="center"/>
      <w:tblLook w:val="04A0" w:firstRow="1" w:lastRow="0" w:firstColumn="1" w:lastColumn="0" w:noHBand="0" w:noVBand="1"/>
    </w:tblPr>
    <w:tblGrid>
      <w:gridCol w:w="2054"/>
      <w:gridCol w:w="1752"/>
      <w:gridCol w:w="1706"/>
      <w:gridCol w:w="1783"/>
      <w:gridCol w:w="1767"/>
    </w:tblGrid>
    <w:tr w:rsidR="00F505B1" w14:paraId="411C6FEA" w14:textId="77777777" w:rsidTr="00F505B1">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13125E38" w14:textId="77777777" w:rsidR="00F505B1" w:rsidRDefault="00F505B1" w:rsidP="00F505B1">
          <w:r w:rsidRPr="0076224A">
            <w:rPr>
              <w:noProof/>
            </w:rPr>
            <w:drawing>
              <wp:inline distT="0" distB="0" distL="0" distR="0" wp14:anchorId="50868C8B" wp14:editId="54CA9F8A">
                <wp:extent cx="1167130" cy="777875"/>
                <wp:effectExtent l="0" t="0" r="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42B55220" w14:textId="53D91B20" w:rsidR="00F505B1" w:rsidRPr="009F5D89" w:rsidRDefault="0025714B" w:rsidP="00F505B1">
          <w:pPr>
            <w:jc w:val="center"/>
            <w:cnfStyle w:val="100000000000" w:firstRow="1" w:lastRow="0" w:firstColumn="0" w:lastColumn="0" w:oddVBand="0" w:evenVBand="0" w:oddHBand="0" w:evenHBand="0" w:firstRowFirstColumn="0" w:firstRowLastColumn="0" w:lastRowFirstColumn="0" w:lastRowLastColumn="0"/>
            <w:rPr>
              <w:rStyle w:val="Gl"/>
              <w:b/>
              <w:bCs/>
            </w:rPr>
          </w:pPr>
          <w:bookmarkStart w:id="0" w:name="_Hlk133579496"/>
          <w:r>
            <w:rPr>
              <w:rStyle w:val="Gl"/>
              <w:b/>
              <w:bCs/>
            </w:rPr>
            <w:t>YAPI MAZEMELERİ</w:t>
          </w:r>
          <w:r w:rsidR="00DC4889" w:rsidRPr="00DC4889">
            <w:rPr>
              <w:rStyle w:val="Gl"/>
              <w:b/>
              <w:bCs/>
            </w:rPr>
            <w:t xml:space="preserve"> BELGELENDİRME KILAVUZU</w:t>
          </w:r>
          <w:bookmarkEnd w:id="0"/>
        </w:p>
      </w:tc>
    </w:tr>
    <w:tr w:rsidR="00F505B1" w14:paraId="44C66BFF" w14:textId="77777777" w:rsidTr="00F505B1">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7AFE3920" w14:textId="77777777" w:rsidR="00F505B1" w:rsidRDefault="00F505B1" w:rsidP="00F505B1"/>
      </w:tc>
      <w:tc>
        <w:tcPr>
          <w:tcW w:w="1752" w:type="dxa"/>
        </w:tcPr>
        <w:p w14:paraId="05E267A8" w14:textId="77777777" w:rsidR="00F505B1" w:rsidRDefault="00F505B1" w:rsidP="00F505B1">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59AF4237" w14:textId="77777777" w:rsidR="00F505B1" w:rsidRDefault="00F505B1" w:rsidP="00F505B1">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338C1BF0" w14:textId="77777777" w:rsidR="00F505B1" w:rsidRDefault="00F505B1" w:rsidP="00F505B1">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No:</w:t>
          </w:r>
        </w:p>
      </w:tc>
      <w:tc>
        <w:tcPr>
          <w:tcW w:w="1767" w:type="dxa"/>
        </w:tcPr>
        <w:p w14:paraId="21188581" w14:textId="77777777" w:rsidR="00F505B1" w:rsidRDefault="00F505B1" w:rsidP="00F505B1">
          <w:pPr>
            <w:cnfStyle w:val="000000100000" w:firstRow="0" w:lastRow="0" w:firstColumn="0" w:lastColumn="0" w:oddVBand="0" w:evenVBand="0" w:oddHBand="1" w:evenHBand="0" w:firstRowFirstColumn="0" w:firstRowLastColumn="0" w:lastRowFirstColumn="0" w:lastRowLastColumn="0"/>
          </w:pPr>
          <w:proofErr w:type="spellStart"/>
          <w:r w:rsidRPr="00C02D78">
            <w:rPr>
              <w:b/>
              <w:bCs/>
            </w:rPr>
            <w:t>Rev</w:t>
          </w:r>
          <w:proofErr w:type="spellEnd"/>
          <w:r w:rsidRPr="00C02D78">
            <w:rPr>
              <w:b/>
              <w:bCs/>
            </w:rPr>
            <w:t>. Tarihi:</w:t>
          </w:r>
        </w:p>
      </w:tc>
    </w:tr>
    <w:tr w:rsidR="00F505B1" w14:paraId="012A5835" w14:textId="77777777" w:rsidTr="00F505B1">
      <w:trPr>
        <w:trHeight w:val="282"/>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0B29F014" w14:textId="77777777" w:rsidR="00F505B1" w:rsidRDefault="00F505B1" w:rsidP="00F505B1"/>
      </w:tc>
      <w:tc>
        <w:tcPr>
          <w:tcW w:w="1752" w:type="dxa"/>
        </w:tcPr>
        <w:p w14:paraId="62EBEBF5" w14:textId="673DA5F9" w:rsidR="00F505B1" w:rsidRPr="009F5D89" w:rsidRDefault="00DC4889" w:rsidP="00F505B1">
          <w:pPr>
            <w:jc w:val="center"/>
            <w:cnfStyle w:val="000000000000" w:firstRow="0" w:lastRow="0" w:firstColumn="0" w:lastColumn="0" w:oddVBand="0" w:evenVBand="0" w:oddHBand="0" w:evenHBand="0" w:firstRowFirstColumn="0" w:firstRowLastColumn="0" w:lastRowFirstColumn="0" w:lastRowLastColumn="0"/>
          </w:pPr>
          <w:r>
            <w:t>KL</w:t>
          </w:r>
          <w:r w:rsidR="00F505B1">
            <w:t>.</w:t>
          </w:r>
          <w:r>
            <w:t>ÜB</w:t>
          </w:r>
          <w:r w:rsidR="00F505B1">
            <w:t>.0</w:t>
          </w:r>
          <w:r>
            <w:t>1.0</w:t>
          </w:r>
          <w:r w:rsidR="0025714B">
            <w:t>2</w:t>
          </w:r>
        </w:p>
      </w:tc>
      <w:tc>
        <w:tcPr>
          <w:tcW w:w="1706" w:type="dxa"/>
        </w:tcPr>
        <w:p w14:paraId="0FC7F4CB" w14:textId="0774E6AC" w:rsidR="00F505B1" w:rsidRPr="009F5D89" w:rsidRDefault="000418FA" w:rsidP="00F505B1">
          <w:pPr>
            <w:cnfStyle w:val="000000000000" w:firstRow="0" w:lastRow="0" w:firstColumn="0" w:lastColumn="0" w:oddVBand="0" w:evenVBand="0" w:oddHBand="0" w:evenHBand="0" w:firstRowFirstColumn="0" w:firstRowLastColumn="0" w:lastRowFirstColumn="0" w:lastRowLastColumn="0"/>
          </w:pPr>
          <w:r>
            <w:t>12</w:t>
          </w:r>
          <w:r w:rsidR="00F505B1" w:rsidRPr="009F5D89">
            <w:t>.</w:t>
          </w:r>
          <w:r>
            <w:t>12</w:t>
          </w:r>
          <w:r w:rsidR="00F505B1" w:rsidRPr="009F5D89">
            <w:t>.</w:t>
          </w:r>
          <w:r>
            <w:t>2022</w:t>
          </w:r>
        </w:p>
      </w:tc>
      <w:tc>
        <w:tcPr>
          <w:tcW w:w="1783" w:type="dxa"/>
        </w:tcPr>
        <w:p w14:paraId="0506BA9C" w14:textId="5EBE6B9E" w:rsidR="00F505B1" w:rsidRPr="009F5D89" w:rsidRDefault="005E5CDD" w:rsidP="00F505B1">
          <w:pPr>
            <w:cnfStyle w:val="000000000000" w:firstRow="0" w:lastRow="0" w:firstColumn="0" w:lastColumn="0" w:oddVBand="0" w:evenVBand="0" w:oddHBand="0" w:evenHBand="0" w:firstRowFirstColumn="0" w:firstRowLastColumn="0" w:lastRowFirstColumn="0" w:lastRowLastColumn="0"/>
          </w:pPr>
          <w:r>
            <w:t>01</w:t>
          </w:r>
        </w:p>
      </w:tc>
      <w:tc>
        <w:tcPr>
          <w:tcW w:w="1767" w:type="dxa"/>
        </w:tcPr>
        <w:p w14:paraId="6E31A240" w14:textId="100602C2" w:rsidR="00F505B1" w:rsidRPr="009F5D89" w:rsidRDefault="005E5CDD" w:rsidP="00F505B1">
          <w:pPr>
            <w:cnfStyle w:val="000000000000" w:firstRow="0" w:lastRow="0" w:firstColumn="0" w:lastColumn="0" w:oddVBand="0" w:evenVBand="0" w:oddHBand="0" w:evenHBand="0" w:firstRowFirstColumn="0" w:firstRowLastColumn="0" w:lastRowFirstColumn="0" w:lastRowLastColumn="0"/>
          </w:pPr>
          <w:r>
            <w:t>08.02.2024</w:t>
          </w:r>
        </w:p>
      </w:tc>
    </w:tr>
  </w:tbl>
  <w:p w14:paraId="7ABD9B92" w14:textId="77777777" w:rsidR="00F505B1" w:rsidRDefault="00F505B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11D7" w14:textId="77777777" w:rsidR="000418FA" w:rsidRDefault="000418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E90"/>
    <w:multiLevelType w:val="hybridMultilevel"/>
    <w:tmpl w:val="6912629E"/>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9D7DC3"/>
    <w:multiLevelType w:val="hybridMultilevel"/>
    <w:tmpl w:val="884C2B1E"/>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9D3AA6"/>
    <w:multiLevelType w:val="hybridMultilevel"/>
    <w:tmpl w:val="46A47510"/>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DA53B1"/>
    <w:multiLevelType w:val="multilevel"/>
    <w:tmpl w:val="024A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954FB"/>
    <w:multiLevelType w:val="hybridMultilevel"/>
    <w:tmpl w:val="EFD8F522"/>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3A6108"/>
    <w:multiLevelType w:val="hybridMultilevel"/>
    <w:tmpl w:val="51909AD2"/>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94756C"/>
    <w:multiLevelType w:val="hybridMultilevel"/>
    <w:tmpl w:val="290CFE24"/>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DE1C47"/>
    <w:multiLevelType w:val="hybridMultilevel"/>
    <w:tmpl w:val="13B8C07C"/>
    <w:lvl w:ilvl="0" w:tplc="2388A43C">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853A5"/>
    <w:multiLevelType w:val="hybridMultilevel"/>
    <w:tmpl w:val="4A8AF588"/>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5C033E"/>
    <w:multiLevelType w:val="multilevel"/>
    <w:tmpl w:val="9EF473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250695C"/>
    <w:multiLevelType w:val="hybridMultilevel"/>
    <w:tmpl w:val="FA02A3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65B4404"/>
    <w:multiLevelType w:val="hybridMultilevel"/>
    <w:tmpl w:val="CA64EC6A"/>
    <w:lvl w:ilvl="0" w:tplc="2388A43C">
      <w:start w:val="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7214543">
    <w:abstractNumId w:val="3"/>
  </w:num>
  <w:num w:numId="2" w16cid:durableId="262808414">
    <w:abstractNumId w:val="10"/>
  </w:num>
  <w:num w:numId="3" w16cid:durableId="786243660">
    <w:abstractNumId w:val="9"/>
  </w:num>
  <w:num w:numId="4" w16cid:durableId="871957217">
    <w:abstractNumId w:val="6"/>
  </w:num>
  <w:num w:numId="5" w16cid:durableId="1499691049">
    <w:abstractNumId w:val="4"/>
  </w:num>
  <w:num w:numId="6" w16cid:durableId="195244203">
    <w:abstractNumId w:val="1"/>
  </w:num>
  <w:num w:numId="7" w16cid:durableId="576087287">
    <w:abstractNumId w:val="2"/>
  </w:num>
  <w:num w:numId="8" w16cid:durableId="242763112">
    <w:abstractNumId w:val="11"/>
  </w:num>
  <w:num w:numId="9" w16cid:durableId="1594779601">
    <w:abstractNumId w:val="5"/>
  </w:num>
  <w:num w:numId="10" w16cid:durableId="1573083433">
    <w:abstractNumId w:val="8"/>
  </w:num>
  <w:num w:numId="11" w16cid:durableId="2115588354">
    <w:abstractNumId w:val="0"/>
  </w:num>
  <w:num w:numId="12" w16cid:durableId="418335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B1"/>
    <w:rsid w:val="000278F3"/>
    <w:rsid w:val="00040829"/>
    <w:rsid w:val="000418FA"/>
    <w:rsid w:val="00062AF9"/>
    <w:rsid w:val="00073205"/>
    <w:rsid w:val="000A2C4C"/>
    <w:rsid w:val="000F1772"/>
    <w:rsid w:val="000F7A6D"/>
    <w:rsid w:val="00123AD1"/>
    <w:rsid w:val="001327A0"/>
    <w:rsid w:val="0013296A"/>
    <w:rsid w:val="0013482E"/>
    <w:rsid w:val="00155430"/>
    <w:rsid w:val="00244FEB"/>
    <w:rsid w:val="0025714B"/>
    <w:rsid w:val="00270D71"/>
    <w:rsid w:val="002A02C5"/>
    <w:rsid w:val="00441BFB"/>
    <w:rsid w:val="004739A7"/>
    <w:rsid w:val="0048457E"/>
    <w:rsid w:val="004A342A"/>
    <w:rsid w:val="004E525F"/>
    <w:rsid w:val="0053248D"/>
    <w:rsid w:val="00552E66"/>
    <w:rsid w:val="005A56F7"/>
    <w:rsid w:val="005D2551"/>
    <w:rsid w:val="005D4CF2"/>
    <w:rsid w:val="005E5CDD"/>
    <w:rsid w:val="006328A6"/>
    <w:rsid w:val="0065571C"/>
    <w:rsid w:val="00662A8F"/>
    <w:rsid w:val="00662B94"/>
    <w:rsid w:val="006A6F25"/>
    <w:rsid w:val="007066EA"/>
    <w:rsid w:val="007503A2"/>
    <w:rsid w:val="0078714C"/>
    <w:rsid w:val="007D2814"/>
    <w:rsid w:val="007F3CF7"/>
    <w:rsid w:val="008028BE"/>
    <w:rsid w:val="00847534"/>
    <w:rsid w:val="00852381"/>
    <w:rsid w:val="008B7BAA"/>
    <w:rsid w:val="008E7772"/>
    <w:rsid w:val="008F4EAB"/>
    <w:rsid w:val="008F51CE"/>
    <w:rsid w:val="00930C73"/>
    <w:rsid w:val="00936347"/>
    <w:rsid w:val="009502EF"/>
    <w:rsid w:val="009D440B"/>
    <w:rsid w:val="009F5E3E"/>
    <w:rsid w:val="00A02A39"/>
    <w:rsid w:val="00AA13A8"/>
    <w:rsid w:val="00AE1EB7"/>
    <w:rsid w:val="00B17675"/>
    <w:rsid w:val="00B25DDE"/>
    <w:rsid w:val="00B362CA"/>
    <w:rsid w:val="00B55D92"/>
    <w:rsid w:val="00B6483B"/>
    <w:rsid w:val="00BD010D"/>
    <w:rsid w:val="00BD3DBF"/>
    <w:rsid w:val="00BD41B4"/>
    <w:rsid w:val="00C239B7"/>
    <w:rsid w:val="00C40F4B"/>
    <w:rsid w:val="00C62698"/>
    <w:rsid w:val="00C63B2D"/>
    <w:rsid w:val="00CD6822"/>
    <w:rsid w:val="00D1097E"/>
    <w:rsid w:val="00D42346"/>
    <w:rsid w:val="00D6035F"/>
    <w:rsid w:val="00D642A9"/>
    <w:rsid w:val="00D702C0"/>
    <w:rsid w:val="00D91C02"/>
    <w:rsid w:val="00DC4889"/>
    <w:rsid w:val="00DD4EF1"/>
    <w:rsid w:val="00DE11E1"/>
    <w:rsid w:val="00F011CA"/>
    <w:rsid w:val="00F070AF"/>
    <w:rsid w:val="00F211D3"/>
    <w:rsid w:val="00F40A2E"/>
    <w:rsid w:val="00F47368"/>
    <w:rsid w:val="00F505B1"/>
    <w:rsid w:val="00F67D7C"/>
    <w:rsid w:val="00F91742"/>
    <w:rsid w:val="00F950B9"/>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B7D3A"/>
  <w15:chartTrackingRefBased/>
  <w15:docId w15:val="{7DAD7F9F-A4C6-485C-B83F-4A98AEDF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889"/>
  </w:style>
  <w:style w:type="paragraph" w:styleId="Balk1">
    <w:name w:val="heading 1"/>
    <w:basedOn w:val="Normal"/>
    <w:next w:val="Normal"/>
    <w:link w:val="Balk1Char"/>
    <w:uiPriority w:val="9"/>
    <w:qFormat/>
    <w:rsid w:val="00DC4889"/>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DC4889"/>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DC488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DC4889"/>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DC4889"/>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DC4889"/>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DC4889"/>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DC488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DC488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4889"/>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DC4889"/>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DC4889"/>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DC4889"/>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DC4889"/>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DC4889"/>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DC4889"/>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DC4889"/>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DC4889"/>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DC4889"/>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DC4889"/>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DC4889"/>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DC488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DC4889"/>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DC4889"/>
    <w:rPr>
      <w:b/>
      <w:bCs/>
    </w:rPr>
  </w:style>
  <w:style w:type="character" w:styleId="Vurgu">
    <w:name w:val="Emphasis"/>
    <w:basedOn w:val="VarsaylanParagrafYazTipi"/>
    <w:uiPriority w:val="20"/>
    <w:qFormat/>
    <w:rsid w:val="00DC4889"/>
    <w:rPr>
      <w:i/>
      <w:iCs/>
    </w:rPr>
  </w:style>
  <w:style w:type="paragraph" w:styleId="AralkYok">
    <w:name w:val="No Spacing"/>
    <w:uiPriority w:val="1"/>
    <w:qFormat/>
    <w:rsid w:val="00DC4889"/>
    <w:pPr>
      <w:spacing w:after="0" w:line="240" w:lineRule="auto"/>
    </w:pPr>
  </w:style>
  <w:style w:type="paragraph" w:styleId="Alnt">
    <w:name w:val="Quote"/>
    <w:basedOn w:val="Normal"/>
    <w:next w:val="Normal"/>
    <w:link w:val="AlntChar"/>
    <w:uiPriority w:val="29"/>
    <w:qFormat/>
    <w:rsid w:val="00DC4889"/>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DC4889"/>
    <w:rPr>
      <w:i/>
      <w:iCs/>
    </w:rPr>
  </w:style>
  <w:style w:type="paragraph" w:styleId="GlAlnt">
    <w:name w:val="Intense Quote"/>
    <w:basedOn w:val="Normal"/>
    <w:next w:val="Normal"/>
    <w:link w:val="GlAlntChar"/>
    <w:uiPriority w:val="30"/>
    <w:qFormat/>
    <w:rsid w:val="00DC4889"/>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DC4889"/>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DC4889"/>
    <w:rPr>
      <w:i/>
      <w:iCs/>
      <w:color w:val="595959" w:themeColor="text1" w:themeTint="A6"/>
    </w:rPr>
  </w:style>
  <w:style w:type="character" w:styleId="GlVurgulama">
    <w:name w:val="Intense Emphasis"/>
    <w:basedOn w:val="VarsaylanParagrafYazTipi"/>
    <w:uiPriority w:val="21"/>
    <w:qFormat/>
    <w:rsid w:val="00DC4889"/>
    <w:rPr>
      <w:b/>
      <w:bCs/>
      <w:i/>
      <w:iCs/>
    </w:rPr>
  </w:style>
  <w:style w:type="character" w:styleId="HafifBavuru">
    <w:name w:val="Subtle Reference"/>
    <w:basedOn w:val="VarsaylanParagrafYazTipi"/>
    <w:uiPriority w:val="31"/>
    <w:qFormat/>
    <w:rsid w:val="00DC4889"/>
    <w:rPr>
      <w:smallCaps/>
      <w:color w:val="404040" w:themeColor="text1" w:themeTint="BF"/>
    </w:rPr>
  </w:style>
  <w:style w:type="character" w:styleId="GlBavuru">
    <w:name w:val="Intense Reference"/>
    <w:basedOn w:val="VarsaylanParagrafYazTipi"/>
    <w:uiPriority w:val="32"/>
    <w:qFormat/>
    <w:rsid w:val="00DC4889"/>
    <w:rPr>
      <w:b/>
      <w:bCs/>
      <w:smallCaps/>
      <w:u w:val="single"/>
    </w:rPr>
  </w:style>
  <w:style w:type="character" w:styleId="KitapBal">
    <w:name w:val="Book Title"/>
    <w:basedOn w:val="VarsaylanParagrafYazTipi"/>
    <w:uiPriority w:val="33"/>
    <w:qFormat/>
    <w:rsid w:val="00DC4889"/>
    <w:rPr>
      <w:b/>
      <w:bCs/>
      <w:smallCaps/>
    </w:rPr>
  </w:style>
  <w:style w:type="paragraph" w:styleId="TBal">
    <w:name w:val="TOC Heading"/>
    <w:basedOn w:val="Balk1"/>
    <w:next w:val="Normal"/>
    <w:uiPriority w:val="39"/>
    <w:semiHidden/>
    <w:unhideWhenUsed/>
    <w:qFormat/>
    <w:rsid w:val="00DC4889"/>
    <w:pPr>
      <w:outlineLvl w:val="9"/>
    </w:pPr>
  </w:style>
  <w:style w:type="paragraph" w:styleId="stBilgi">
    <w:name w:val="header"/>
    <w:basedOn w:val="Normal"/>
    <w:link w:val="stBilgiChar"/>
    <w:uiPriority w:val="99"/>
    <w:unhideWhenUsed/>
    <w:rsid w:val="00F505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05B1"/>
  </w:style>
  <w:style w:type="paragraph" w:styleId="AltBilgi">
    <w:name w:val="footer"/>
    <w:basedOn w:val="Normal"/>
    <w:link w:val="AltBilgiChar"/>
    <w:uiPriority w:val="99"/>
    <w:unhideWhenUsed/>
    <w:rsid w:val="00F505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05B1"/>
  </w:style>
  <w:style w:type="table" w:styleId="DzTablo1">
    <w:name w:val="Plain Table 1"/>
    <w:basedOn w:val="NormalTablo"/>
    <w:uiPriority w:val="41"/>
    <w:rsid w:val="00F505B1"/>
    <w:pPr>
      <w:spacing w:after="0" w:line="240" w:lineRule="auto"/>
    </w:pPr>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DC4889"/>
    <w:pPr>
      <w:ind w:left="720"/>
      <w:contextualSpacing/>
    </w:pPr>
  </w:style>
  <w:style w:type="paragraph" w:customStyle="1" w:styleId="Paragraf">
    <w:name w:val="Paragraf"/>
    <w:basedOn w:val="Normal"/>
    <w:link w:val="ParagrafChar"/>
    <w:autoRedefine/>
    <w:qFormat/>
    <w:rsid w:val="00DC4889"/>
    <w:pPr>
      <w:spacing w:after="0" w:line="240" w:lineRule="auto"/>
      <w:ind w:firstLine="36"/>
    </w:pPr>
    <w:rPr>
      <w:rFonts w:eastAsia="Times New Roman" w:cstheme="minorHAnsi"/>
      <w:color w:val="000000" w:themeColor="text1"/>
      <w:lang w:eastAsia="tr-TR" w:bidi="ar-SA"/>
    </w:rPr>
  </w:style>
  <w:style w:type="character" w:customStyle="1" w:styleId="ParagrafChar">
    <w:name w:val="Paragraf Char"/>
    <w:basedOn w:val="VarsaylanParagrafYazTipi"/>
    <w:link w:val="Paragraf"/>
    <w:rsid w:val="00DC4889"/>
    <w:rPr>
      <w:rFonts w:eastAsia="Times New Roman" w:cstheme="minorHAnsi"/>
      <w:color w:val="000000" w:themeColor="text1"/>
      <w:lang w:eastAsia="tr-TR" w:bidi="ar-SA"/>
    </w:rPr>
  </w:style>
  <w:style w:type="table" w:customStyle="1" w:styleId="TabloKlavuzu1">
    <w:name w:val="Tablo Kılavuzu1"/>
    <w:basedOn w:val="NormalTablo"/>
    <w:next w:val="TabloKlavuzu"/>
    <w:uiPriority w:val="59"/>
    <w:rsid w:val="00DC4889"/>
    <w:pPr>
      <w:spacing w:after="0" w:line="240" w:lineRule="auto"/>
    </w:pPr>
    <w:rPr>
      <w:rFonts w:ascii="Times New Roman" w:eastAsia="Times New Roman" w:hAnsi="Times New Roman" w:cs="Times New Roman"/>
      <w:sz w:val="20"/>
      <w:szCs w:val="20"/>
      <w:lang w:val="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C4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2551"/>
    <w:pPr>
      <w:widowControl w:val="0"/>
      <w:autoSpaceDE w:val="0"/>
      <w:autoSpaceDN w:val="0"/>
      <w:spacing w:after="0" w:line="240" w:lineRule="auto"/>
    </w:pPr>
    <w:rPr>
      <w:rFonts w:ascii="Times New Roman" w:eastAsia="Times New Roman" w:hAnsi="Times New Roman" w:cs="Times New Roman"/>
      <w:sz w:val="22"/>
      <w:szCs w:val="22"/>
      <w:lang w:bidi="ar-SA"/>
    </w:rPr>
  </w:style>
  <w:style w:type="paragraph" w:styleId="NormalWeb">
    <w:name w:val="Normal (Web)"/>
    <w:basedOn w:val="Normal"/>
    <w:uiPriority w:val="99"/>
    <w:unhideWhenUsed/>
    <w:rsid w:val="005D25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62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1551</Words>
  <Characters>8846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3</cp:revision>
  <cp:lastPrinted>2023-06-02T13:41:00Z</cp:lastPrinted>
  <dcterms:created xsi:type="dcterms:W3CDTF">2024-02-08T10:22:00Z</dcterms:created>
  <dcterms:modified xsi:type="dcterms:W3CDTF">2024-02-08T12:18:00Z</dcterms:modified>
</cp:coreProperties>
</file>