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CC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b/>
          <w:bCs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1.0. AMAÇ ve KAPSAM </w:t>
      </w:r>
    </w:p>
    <w:p w:rsidR="00761ECA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1.1. </w:t>
      </w:r>
      <w:r w:rsidRPr="007D2F18">
        <w:rPr>
          <w:rFonts w:ascii="Times New Roman" w:hAnsi="Times New Roman" w:cs="Times New Roman"/>
          <w:sz w:val="22"/>
          <w:szCs w:val="22"/>
        </w:rPr>
        <w:t xml:space="preserve">Bu talimatın amacı, ürün belgelendirme kapsamında belgelendirme başvurusunda bulunan müşterilere belgelendirme hizmetleri için uygulanacak ücret ve ödeme şartlarını açıklamaktır. </w:t>
      </w:r>
    </w:p>
    <w:p w:rsidR="00761ECA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1.2. </w:t>
      </w:r>
      <w:r w:rsidRPr="007D2F18">
        <w:rPr>
          <w:rFonts w:ascii="Times New Roman" w:hAnsi="Times New Roman" w:cs="Times New Roman"/>
          <w:sz w:val="22"/>
          <w:szCs w:val="22"/>
        </w:rPr>
        <w:t xml:space="preserve">Bu talimat, ürün belgelendirme kapsamında belgelendirme hizmetleri için başvuru yapan tüm müşteriler için uygulanacak ücretleri ve ödeme şartlarını kapsar. </w:t>
      </w: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</w:rPr>
      </w:pPr>
    </w:p>
    <w:p w:rsidR="00A355CC" w:rsidRPr="007D2F18" w:rsidRDefault="004A3F2D" w:rsidP="00CA4CB7">
      <w:pPr>
        <w:pStyle w:val="Default"/>
        <w:tabs>
          <w:tab w:val="left" w:pos="6825"/>
        </w:tabs>
        <w:spacing w:before="60"/>
        <w:rPr>
          <w:rFonts w:ascii="Times New Roman" w:hAnsi="Times New Roman" w:cs="Times New Roman"/>
          <w:b/>
          <w:bCs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61ECA" w:rsidRPr="007D2F18">
        <w:rPr>
          <w:rFonts w:ascii="Times New Roman" w:hAnsi="Times New Roman" w:cs="Times New Roman"/>
          <w:b/>
          <w:bCs/>
          <w:sz w:val="22"/>
          <w:szCs w:val="22"/>
        </w:rPr>
        <w:t>.0. UYGULAMA</w:t>
      </w:r>
      <w:r w:rsidR="00CA4CB7" w:rsidRPr="007D2F18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761ECA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3F2D" w:rsidRPr="007D2F1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.1. Ücretlerin Belirlenmesi </w:t>
      </w:r>
    </w:p>
    <w:p w:rsidR="00761ECA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 xml:space="preserve">Ücretlerin belirlenmesi aşağıda belirtilen esaslara uygun olan gerçekleştirilir. </w:t>
      </w:r>
    </w:p>
    <w:p w:rsidR="00761ECA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b/>
          <w:bCs/>
          <w:sz w:val="22"/>
          <w:szCs w:val="22"/>
        </w:rPr>
      </w:pPr>
    </w:p>
    <w:p w:rsidR="00761ECA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A. Başvuru Ücreti: </w:t>
      </w:r>
    </w:p>
    <w:p w:rsidR="00761ECA" w:rsidRPr="007D2F18" w:rsidRDefault="00761ECA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>Başvuru işlemleri için müşterilerden alınan ücrettir. Kişi veya kuruluşun,</w:t>
      </w:r>
    </w:p>
    <w:p w:rsidR="004640A8" w:rsidRPr="007D2F18" w:rsidRDefault="004640A8" w:rsidP="00761ECA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409"/>
        <w:gridCol w:w="4110"/>
      </w:tblGrid>
      <w:tr w:rsidR="00761ECA" w:rsidRPr="007D2F18" w:rsidTr="00925953">
        <w:trPr>
          <w:trHeight w:val="153"/>
          <w:jc w:val="center"/>
        </w:trPr>
        <w:tc>
          <w:tcPr>
            <w:tcW w:w="5104" w:type="dxa"/>
            <w:gridSpan w:val="2"/>
          </w:tcPr>
          <w:p w:rsidR="00761ECA" w:rsidRPr="007D2F18" w:rsidRDefault="00761ECA" w:rsidP="00925953">
            <w:pPr>
              <w:pStyle w:val="Default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Belgelendirme Türü </w:t>
            </w:r>
          </w:p>
        </w:tc>
        <w:tc>
          <w:tcPr>
            <w:tcW w:w="4110" w:type="dxa"/>
          </w:tcPr>
          <w:p w:rsidR="00761ECA" w:rsidRPr="007D2F18" w:rsidRDefault="00761ECA" w:rsidP="009259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Başvuru Ücreti </w:t>
            </w:r>
          </w:p>
        </w:tc>
      </w:tr>
      <w:tr w:rsidR="00541E77" w:rsidRPr="007D2F18" w:rsidTr="00466357">
        <w:trPr>
          <w:trHeight w:val="153"/>
          <w:jc w:val="center"/>
        </w:trPr>
        <w:tc>
          <w:tcPr>
            <w:tcW w:w="2695" w:type="dxa"/>
            <w:vMerge w:val="restart"/>
            <w:vAlign w:val="center"/>
          </w:tcPr>
          <w:p w:rsidR="00541E77" w:rsidRPr="007D2F18" w:rsidRDefault="00541E77" w:rsidP="00541E7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Fabrika Üretim Kontrolü</w:t>
            </w:r>
          </w:p>
        </w:tc>
        <w:tc>
          <w:tcPr>
            <w:tcW w:w="2409" w:type="dxa"/>
            <w:vMerge w:val="restart"/>
            <w:vAlign w:val="center"/>
          </w:tcPr>
          <w:p w:rsidR="00541E77" w:rsidRPr="007D2F18" w:rsidRDefault="00541E77" w:rsidP="00541E7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Fabrika Üretim Kontrolü</w:t>
            </w:r>
          </w:p>
        </w:tc>
        <w:tc>
          <w:tcPr>
            <w:tcW w:w="4110" w:type="dxa"/>
          </w:tcPr>
          <w:p w:rsidR="00541E77" w:rsidRPr="007D2F18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Ücret </w:t>
            </w:r>
          </w:p>
        </w:tc>
      </w:tr>
      <w:tr w:rsidR="00541E77" w:rsidRPr="007D2F18" w:rsidTr="00CA054C">
        <w:trPr>
          <w:trHeight w:val="516"/>
          <w:jc w:val="center"/>
        </w:trPr>
        <w:tc>
          <w:tcPr>
            <w:tcW w:w="2695" w:type="dxa"/>
            <w:vMerge/>
          </w:tcPr>
          <w:p w:rsidR="00541E77" w:rsidRPr="007D2F18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41E77" w:rsidRPr="007D2F18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541E77" w:rsidRPr="007D2F18" w:rsidRDefault="00541E77" w:rsidP="00541E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50 TL+KDV</w:t>
            </w:r>
          </w:p>
        </w:tc>
      </w:tr>
    </w:tbl>
    <w:p w:rsidR="00761ECA" w:rsidRPr="007D2F18" w:rsidRDefault="00761ECA" w:rsidP="00761ECA">
      <w:pPr>
        <w:pStyle w:val="Default"/>
        <w:rPr>
          <w:rFonts w:ascii="Times New Roman" w:hAnsi="Times New Roman" w:cs="Times New Roman"/>
        </w:rPr>
      </w:pP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12188" w:rsidRPr="007D2F18" w:rsidRDefault="00612188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61ECA" w:rsidRPr="007D2F18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761ECA"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. Denetim Ücreti: </w:t>
      </w:r>
    </w:p>
    <w:p w:rsidR="00761ECA" w:rsidRPr="007D2F18" w:rsidRDefault="00761ECA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>Hazırlanan denetim planına uygun olarak kişi veya kuruluşta gerçekleştirilen denetimlere ilişkin ücrettir. Başvuran kuruluşların ürünleri</w:t>
      </w:r>
      <w:r w:rsidR="00EA4755" w:rsidRPr="007D2F18">
        <w:rPr>
          <w:rFonts w:ascii="Times New Roman" w:hAnsi="Times New Roman" w:cs="Times New Roman"/>
          <w:sz w:val="22"/>
          <w:szCs w:val="22"/>
        </w:rPr>
        <w:t>ne</w:t>
      </w:r>
      <w:r w:rsidRPr="007D2F18">
        <w:rPr>
          <w:rFonts w:ascii="Times New Roman" w:hAnsi="Times New Roman" w:cs="Times New Roman"/>
          <w:sz w:val="22"/>
          <w:szCs w:val="22"/>
        </w:rPr>
        <w:t xml:space="preserve"> göre hesaplanan denetim süreleri (adam/gün sayısı) esas alınarak belirlenir. </w:t>
      </w:r>
    </w:p>
    <w:p w:rsidR="00761ECA" w:rsidRPr="007D2F18" w:rsidRDefault="00761ECA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 xml:space="preserve">Denetim sürelerinin hesaplanmasında, </w:t>
      </w:r>
      <w:r w:rsidR="00AB22A6" w:rsidRPr="007D2F18">
        <w:rPr>
          <w:rFonts w:ascii="Times New Roman" w:hAnsi="Times New Roman" w:cs="Times New Roman"/>
          <w:sz w:val="22"/>
          <w:szCs w:val="22"/>
        </w:rPr>
        <w:t>EuroGap Belgelendirme ve Özel Eğitim Hizmetleri</w:t>
      </w:r>
      <w:r w:rsidRPr="007D2F18">
        <w:rPr>
          <w:rFonts w:ascii="Times New Roman" w:hAnsi="Times New Roman" w:cs="Times New Roman"/>
          <w:sz w:val="22"/>
          <w:szCs w:val="22"/>
        </w:rPr>
        <w:t xml:space="preserve"> tarafından ilgili akreditasyon kurallarına göre hazırlanmış </w:t>
      </w:r>
      <w:r w:rsidR="00EA4755" w:rsidRPr="007D2F18">
        <w:rPr>
          <w:rFonts w:ascii="Times New Roman" w:hAnsi="Times New Roman" w:cs="Times New Roman"/>
          <w:b/>
          <w:bCs/>
          <w:i/>
          <w:sz w:val="22"/>
          <w:szCs w:val="22"/>
        </w:rPr>
        <w:t>PR.</w:t>
      </w:r>
      <w:r w:rsidR="00541E77" w:rsidRPr="007D2F1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013 Agrega Ve Kagir Birimler Belgelendirme Prosedürü </w:t>
      </w:r>
      <w:r w:rsidRPr="007D2F1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’ </w:t>
      </w:r>
      <w:r w:rsidRPr="007D2F18">
        <w:rPr>
          <w:rFonts w:ascii="Times New Roman" w:hAnsi="Times New Roman" w:cs="Times New Roman"/>
          <w:sz w:val="22"/>
          <w:szCs w:val="22"/>
        </w:rPr>
        <w:t>n</w:t>
      </w:r>
      <w:r w:rsidR="00EA4755" w:rsidRPr="007D2F18">
        <w:rPr>
          <w:rFonts w:ascii="Times New Roman" w:hAnsi="Times New Roman" w:cs="Times New Roman"/>
          <w:sz w:val="22"/>
          <w:szCs w:val="22"/>
        </w:rPr>
        <w:t>ü</w:t>
      </w:r>
      <w:r w:rsidRPr="007D2F18">
        <w:rPr>
          <w:rFonts w:ascii="Times New Roman" w:hAnsi="Times New Roman" w:cs="Times New Roman"/>
          <w:sz w:val="22"/>
          <w:szCs w:val="22"/>
        </w:rPr>
        <w:t>n tüm şartlarına uyulur. Denetim ekibinin yol, konaklama vb. giderleri müşteriler tarafından ayrıca karşılanır.</w:t>
      </w:r>
      <w:r w:rsidR="004E30E9" w:rsidRPr="007D2F18">
        <w:rPr>
          <w:rFonts w:ascii="Times New Roman" w:hAnsi="Times New Roman" w:cs="Times New Roman"/>
          <w:sz w:val="22"/>
          <w:szCs w:val="22"/>
        </w:rPr>
        <w:t xml:space="preserve"> Yapılacak olan indirim veya artırımlar müşteriye Belgelendirme Teklifi Formu ile bildirilir.</w:t>
      </w:r>
    </w:p>
    <w:p w:rsidR="00EA4755" w:rsidRPr="007D2F18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6287"/>
      </w:tblGrid>
      <w:tr w:rsidR="00EA4755" w:rsidRPr="007D2F18" w:rsidTr="00CA054C">
        <w:trPr>
          <w:trHeight w:val="153"/>
          <w:jc w:val="center"/>
        </w:trPr>
        <w:tc>
          <w:tcPr>
            <w:tcW w:w="2379" w:type="dxa"/>
          </w:tcPr>
          <w:p w:rsidR="00EA4755" w:rsidRPr="007D2F18" w:rsidRDefault="00EA4755" w:rsidP="00CA05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Belgelendirme Türü </w:t>
            </w:r>
          </w:p>
        </w:tc>
        <w:tc>
          <w:tcPr>
            <w:tcW w:w="6287" w:type="dxa"/>
          </w:tcPr>
          <w:p w:rsidR="00EA4755" w:rsidRPr="007D2F18" w:rsidRDefault="00EA4755" w:rsidP="00CA05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Yeterlilik Denetimi Ücreti </w:t>
            </w:r>
          </w:p>
        </w:tc>
      </w:tr>
      <w:tr w:rsidR="00EA4755" w:rsidRPr="007D2F18" w:rsidTr="00CA054C">
        <w:trPr>
          <w:trHeight w:val="146"/>
          <w:jc w:val="center"/>
        </w:trPr>
        <w:tc>
          <w:tcPr>
            <w:tcW w:w="2379" w:type="dxa"/>
          </w:tcPr>
          <w:p w:rsidR="00EA4755" w:rsidRPr="007D2F18" w:rsidRDefault="00541E77" w:rsidP="00CA05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Fabrika üretim Kontrolü</w:t>
            </w:r>
          </w:p>
        </w:tc>
        <w:tc>
          <w:tcPr>
            <w:tcW w:w="6287" w:type="dxa"/>
          </w:tcPr>
          <w:p w:rsidR="00EA4755" w:rsidRPr="007D2F18" w:rsidRDefault="00EA4755" w:rsidP="00CA4C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 xml:space="preserve">(Adam/gün sayısı) x </w:t>
            </w:r>
            <w:r w:rsidR="00CA4CB7" w:rsidRPr="007D2F18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 xml:space="preserve"> TL + KDV </w:t>
            </w:r>
          </w:p>
        </w:tc>
      </w:tr>
    </w:tbl>
    <w:p w:rsidR="00C421AD" w:rsidRPr="007D2F18" w:rsidRDefault="00C421AD" w:rsidP="00761ECA">
      <w:pPr>
        <w:rPr>
          <w:sz w:val="22"/>
        </w:rPr>
      </w:pP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</w:rPr>
      </w:pPr>
    </w:p>
    <w:p w:rsidR="00761ECA" w:rsidRPr="007D2F18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612188" w:rsidRPr="007D2F18">
        <w:rPr>
          <w:rFonts w:ascii="Times New Roman" w:hAnsi="Times New Roman" w:cs="Times New Roman"/>
          <w:b/>
          <w:bCs/>
          <w:sz w:val="22"/>
          <w:szCs w:val="22"/>
        </w:rPr>
        <w:t>. Ö</w:t>
      </w:r>
      <w:r w:rsidR="00761ECA" w:rsidRPr="007D2F18">
        <w:rPr>
          <w:rFonts w:ascii="Times New Roman" w:hAnsi="Times New Roman" w:cs="Times New Roman"/>
          <w:b/>
          <w:bCs/>
          <w:sz w:val="22"/>
          <w:szCs w:val="22"/>
        </w:rPr>
        <w:t>n Denetim Ücreti</w:t>
      </w:r>
      <w:r w:rsidR="00A355CC" w:rsidRPr="007D2F18">
        <w:rPr>
          <w:rFonts w:ascii="Times New Roman" w:hAnsi="Times New Roman" w:cs="Times New Roman"/>
          <w:b/>
          <w:bCs/>
          <w:sz w:val="22"/>
          <w:szCs w:val="22"/>
        </w:rPr>
        <w:t>(İsteğe Bağlı)</w:t>
      </w:r>
      <w:r w:rsidR="00761ECA"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bookmarkStart w:id="0" w:name="_GoBack"/>
      <w:bookmarkEnd w:id="0"/>
    </w:p>
    <w:p w:rsidR="00761ECA" w:rsidRPr="007D2F18" w:rsidRDefault="00761ECA" w:rsidP="00761ECA">
      <w:pPr>
        <w:rPr>
          <w:sz w:val="22"/>
          <w:szCs w:val="22"/>
        </w:rPr>
      </w:pPr>
      <w:r w:rsidRPr="007D2F18">
        <w:rPr>
          <w:sz w:val="22"/>
          <w:szCs w:val="22"/>
        </w:rPr>
        <w:t>Müşteri talebine ve isteğine bağlı olarak belgelendirme denetimi öncesi gerçekleştirilen denetime ilişkin ücrettir. Bu ücret, denetim süresi (adam/gün sayısı) esas alınarak belirlenir. Denetim ekibinin yol, konaklama vb. giderleri müşteriler tarafından ayrıca karşılanır.</w:t>
      </w:r>
    </w:p>
    <w:p w:rsidR="00761ECA" w:rsidRPr="007D2F18" w:rsidRDefault="00761ECA" w:rsidP="00761E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4245"/>
      </w:tblGrid>
      <w:tr w:rsidR="00761ECA" w:rsidRPr="007D2F18" w:rsidTr="00926C65">
        <w:trPr>
          <w:trHeight w:val="153"/>
          <w:jc w:val="center"/>
        </w:trPr>
        <w:tc>
          <w:tcPr>
            <w:tcW w:w="3808" w:type="dxa"/>
          </w:tcPr>
          <w:p w:rsidR="00761ECA" w:rsidRPr="007D2F18" w:rsidRDefault="00761ECA" w:rsidP="00926C6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Belgelendirme Türü</w:t>
            </w:r>
          </w:p>
        </w:tc>
        <w:tc>
          <w:tcPr>
            <w:tcW w:w="4245" w:type="dxa"/>
          </w:tcPr>
          <w:p w:rsidR="00761ECA" w:rsidRPr="007D2F18" w:rsidRDefault="00761ECA" w:rsidP="009259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Ön Denetim Ücreti </w:t>
            </w:r>
          </w:p>
        </w:tc>
      </w:tr>
      <w:tr w:rsidR="00761ECA" w:rsidRPr="007D2F18" w:rsidTr="00926C65">
        <w:trPr>
          <w:trHeight w:val="146"/>
          <w:jc w:val="center"/>
        </w:trPr>
        <w:tc>
          <w:tcPr>
            <w:tcW w:w="3808" w:type="dxa"/>
          </w:tcPr>
          <w:p w:rsidR="00761ECA" w:rsidRPr="007D2F18" w:rsidRDefault="00541E77" w:rsidP="009259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Fabrika üretim Kontrolü</w:t>
            </w:r>
          </w:p>
        </w:tc>
        <w:tc>
          <w:tcPr>
            <w:tcW w:w="4245" w:type="dxa"/>
          </w:tcPr>
          <w:p w:rsidR="00761ECA" w:rsidRPr="007D2F18" w:rsidRDefault="00EA4755" w:rsidP="006121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1000 TL</w:t>
            </w:r>
            <w:r w:rsidR="00761ECA" w:rsidRPr="007D2F18">
              <w:rPr>
                <w:rFonts w:ascii="Times New Roman" w:hAnsi="Times New Roman" w:cs="Times New Roman"/>
                <w:sz w:val="22"/>
                <w:szCs w:val="22"/>
              </w:rPr>
              <w:t xml:space="preserve">+ KDV </w:t>
            </w:r>
          </w:p>
        </w:tc>
      </w:tr>
    </w:tbl>
    <w:p w:rsidR="00761ECA" w:rsidRPr="007D2F18" w:rsidRDefault="00761ECA" w:rsidP="00761ECA">
      <w:pPr>
        <w:pStyle w:val="Default"/>
        <w:rPr>
          <w:rFonts w:ascii="Times New Roman" w:hAnsi="Times New Roman" w:cs="Times New Roman"/>
        </w:rPr>
      </w:pPr>
    </w:p>
    <w:p w:rsidR="00EA4755" w:rsidRPr="007D2F18" w:rsidRDefault="00EA4755" w:rsidP="00761ECA">
      <w:pPr>
        <w:pStyle w:val="Default"/>
        <w:rPr>
          <w:rFonts w:ascii="Times New Roman" w:hAnsi="Times New Roman" w:cs="Times New Roman"/>
        </w:rPr>
      </w:pPr>
    </w:p>
    <w:p w:rsidR="00EA4755" w:rsidRPr="007D2F18" w:rsidRDefault="00EA4755" w:rsidP="00761ECA">
      <w:pPr>
        <w:pStyle w:val="Default"/>
        <w:rPr>
          <w:rFonts w:ascii="Times New Roman" w:hAnsi="Times New Roman" w:cs="Times New Roman"/>
        </w:rPr>
      </w:pPr>
    </w:p>
    <w:p w:rsidR="00C421AD" w:rsidRPr="007D2F18" w:rsidRDefault="00C421AD" w:rsidP="00761ECA">
      <w:pPr>
        <w:pStyle w:val="Default"/>
        <w:rPr>
          <w:rFonts w:ascii="Times New Roman" w:hAnsi="Times New Roman" w:cs="Times New Roman"/>
        </w:rPr>
      </w:pPr>
    </w:p>
    <w:p w:rsidR="00761ECA" w:rsidRPr="007D2F18" w:rsidRDefault="00EA4755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lastRenderedPageBreak/>
        <w:t>D</w:t>
      </w:r>
      <w:r w:rsidR="00761ECA"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. Ek Ücretler </w:t>
      </w:r>
    </w:p>
    <w:p w:rsidR="00761ECA" w:rsidRPr="007D2F18" w:rsidRDefault="00761ECA" w:rsidP="00761ECA">
      <w:r w:rsidRPr="007D2F18">
        <w:rPr>
          <w:sz w:val="22"/>
          <w:szCs w:val="22"/>
        </w:rPr>
        <w:t xml:space="preserve">Belge almaya hak kazanan müşterilere bir adet A4 boyutunda Türkçe belge düzenlenir. Ancak, ilave belge veya farklı dilde ve/veya boyutta belge(ler) talep edilmesi halinde her bir belge için ayrıca </w:t>
      </w:r>
      <w:r w:rsidR="00EA4755" w:rsidRPr="007D2F18">
        <w:rPr>
          <w:sz w:val="22"/>
          <w:szCs w:val="22"/>
        </w:rPr>
        <w:t>100 TL</w:t>
      </w:r>
      <w:r w:rsidRPr="007D2F18">
        <w:rPr>
          <w:sz w:val="22"/>
          <w:szCs w:val="22"/>
        </w:rPr>
        <w:t xml:space="preserve"> + KDV ücret talep edilir.</w:t>
      </w: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</w:rPr>
      </w:pP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3.2. Tablo ile Özet Açıklama </w:t>
      </w:r>
    </w:p>
    <w:p w:rsidR="00761ECA" w:rsidRPr="007D2F18" w:rsidRDefault="00761ECA" w:rsidP="00761ECA">
      <w:pPr>
        <w:rPr>
          <w:sz w:val="22"/>
          <w:szCs w:val="22"/>
        </w:rPr>
      </w:pPr>
      <w:r w:rsidRPr="007D2F18">
        <w:rPr>
          <w:sz w:val="22"/>
          <w:szCs w:val="22"/>
        </w:rPr>
        <w:t>Belgelendirme ve denetim türüne göre belirlenecek ücretler aşağıdaki tablo esas alınarak oluşturulur.</w:t>
      </w:r>
    </w:p>
    <w:p w:rsidR="00761ECA" w:rsidRPr="007D2F18" w:rsidRDefault="00761ECA" w:rsidP="00761ECA">
      <w:pPr>
        <w:rPr>
          <w:sz w:val="22"/>
          <w:szCs w:val="22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13"/>
        <w:gridCol w:w="1405"/>
        <w:gridCol w:w="1418"/>
        <w:gridCol w:w="1559"/>
      </w:tblGrid>
      <w:tr w:rsidR="00761ECA" w:rsidRPr="007D2F18" w:rsidTr="004640A8">
        <w:trPr>
          <w:jc w:val="center"/>
        </w:trPr>
        <w:tc>
          <w:tcPr>
            <w:tcW w:w="1843" w:type="dxa"/>
            <w:vMerge w:val="restart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Belgelendirme Türü</w:t>
            </w:r>
          </w:p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13" w:type="dxa"/>
            <w:vMerge w:val="restart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Denetim Türü</w:t>
            </w:r>
          </w:p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382" w:type="dxa"/>
            <w:gridSpan w:val="3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Ücretlendirme Şekli</w:t>
            </w:r>
          </w:p>
        </w:tc>
      </w:tr>
      <w:tr w:rsidR="00761ECA" w:rsidRPr="007D2F18" w:rsidTr="004640A8">
        <w:trPr>
          <w:jc w:val="center"/>
        </w:trPr>
        <w:tc>
          <w:tcPr>
            <w:tcW w:w="1843" w:type="dxa"/>
            <w:vMerge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13" w:type="dxa"/>
            <w:vMerge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405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 Ücreti</w:t>
            </w:r>
          </w:p>
        </w:tc>
        <w:tc>
          <w:tcPr>
            <w:tcW w:w="1418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Yeterlilik Den. Ücreti</w:t>
            </w:r>
          </w:p>
        </w:tc>
        <w:tc>
          <w:tcPr>
            <w:tcW w:w="1559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Denetim Ücreti</w:t>
            </w:r>
          </w:p>
        </w:tc>
      </w:tr>
      <w:tr w:rsidR="00761ECA" w:rsidRPr="007D2F18" w:rsidTr="004640A8">
        <w:trPr>
          <w:jc w:val="center"/>
        </w:trPr>
        <w:tc>
          <w:tcPr>
            <w:tcW w:w="1843" w:type="dxa"/>
            <w:vMerge w:val="restart"/>
            <w:vAlign w:val="center"/>
          </w:tcPr>
          <w:p w:rsidR="00761ECA" w:rsidRPr="007D2F18" w:rsidRDefault="00EA4755" w:rsidP="00761ECA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ÜRÜN BELGELENDİRME</w:t>
            </w:r>
          </w:p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13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Belgelendirme Denetimi</w:t>
            </w:r>
          </w:p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405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  <w:tc>
          <w:tcPr>
            <w:tcW w:w="1418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  <w:tc>
          <w:tcPr>
            <w:tcW w:w="1559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</w:tr>
      <w:tr w:rsidR="00761ECA" w:rsidRPr="007D2F18" w:rsidTr="004640A8">
        <w:trPr>
          <w:jc w:val="center"/>
        </w:trPr>
        <w:tc>
          <w:tcPr>
            <w:tcW w:w="1843" w:type="dxa"/>
            <w:vMerge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13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Tekrar Denetim</w:t>
            </w:r>
          </w:p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  <w:tc>
          <w:tcPr>
            <w:tcW w:w="1418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  <w:tc>
          <w:tcPr>
            <w:tcW w:w="1559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</w:tr>
      <w:tr w:rsidR="00761ECA" w:rsidRPr="007D2F18" w:rsidTr="004640A8">
        <w:trPr>
          <w:jc w:val="center"/>
        </w:trPr>
        <w:tc>
          <w:tcPr>
            <w:tcW w:w="1843" w:type="dxa"/>
            <w:vMerge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13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Ön Denetim</w:t>
            </w:r>
          </w:p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405" w:type="dxa"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</w:tr>
      <w:tr w:rsidR="00761ECA" w:rsidRPr="007D2F18" w:rsidTr="004640A8">
        <w:trPr>
          <w:jc w:val="center"/>
        </w:trPr>
        <w:tc>
          <w:tcPr>
            <w:tcW w:w="1843" w:type="dxa"/>
            <w:vMerge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13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Kapsam Değişikliği</w:t>
            </w:r>
          </w:p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405" w:type="dxa"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</w:tr>
      <w:tr w:rsidR="00761ECA" w:rsidRPr="007D2F18" w:rsidTr="004640A8">
        <w:trPr>
          <w:jc w:val="center"/>
        </w:trPr>
        <w:tc>
          <w:tcPr>
            <w:tcW w:w="1843" w:type="dxa"/>
            <w:vMerge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13" w:type="dxa"/>
            <w:vAlign w:val="center"/>
          </w:tcPr>
          <w:p w:rsidR="00761ECA" w:rsidRPr="007D2F18" w:rsidRDefault="00761ECA" w:rsidP="00761ECA">
            <w:pPr>
              <w:pStyle w:val="Default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D2F18">
              <w:rPr>
                <w:rFonts w:ascii="Times New Roman" w:hAnsi="Times New Roman" w:cs="Times New Roman"/>
                <w:sz w:val="22"/>
                <w:szCs w:val="22"/>
              </w:rPr>
              <w:t>Kapsam Değişikliği</w:t>
            </w:r>
          </w:p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405" w:type="dxa"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761ECA" w:rsidRPr="007D2F18" w:rsidRDefault="00761ECA" w:rsidP="00761EC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61ECA" w:rsidRPr="007D2F18" w:rsidRDefault="004640A8" w:rsidP="00761ECA">
            <w:pPr>
              <w:tabs>
                <w:tab w:val="center" w:pos="4536"/>
                <w:tab w:val="right" w:pos="9072"/>
              </w:tabs>
              <w:jc w:val="center"/>
            </w:pPr>
            <w:r w:rsidRPr="007D2F18">
              <w:rPr>
                <w:sz w:val="36"/>
              </w:rPr>
              <w:t>●</w:t>
            </w:r>
          </w:p>
        </w:tc>
      </w:tr>
    </w:tbl>
    <w:p w:rsidR="004640A8" w:rsidRPr="007D2F18" w:rsidRDefault="004640A8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640A8" w:rsidRPr="007D2F18" w:rsidRDefault="004640A8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3.3. Faturalama ve Ödemeler </w:t>
      </w:r>
    </w:p>
    <w:p w:rsidR="00761ECA" w:rsidRPr="007D2F18" w:rsidRDefault="00761ECA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 xml:space="preserve">Belgelendirme bedelinin yarısı işlemlerin başlatılabilmesi için teklifin onaylanması ile birlikte, bedelin geri kalanı ise belgelerin teslimatı ile birlikte düzenlenecek fatura tarihinden itibaren </w:t>
      </w: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10 gün </w:t>
      </w:r>
      <w:r w:rsidRPr="007D2F18">
        <w:rPr>
          <w:rFonts w:ascii="Times New Roman" w:hAnsi="Times New Roman" w:cs="Times New Roman"/>
          <w:sz w:val="22"/>
          <w:szCs w:val="22"/>
        </w:rPr>
        <w:t xml:space="preserve">içerisinde yapılacaktır. </w:t>
      </w:r>
    </w:p>
    <w:p w:rsidR="00761ECA" w:rsidRPr="007D2F18" w:rsidRDefault="00761ECA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 xml:space="preserve">Başvuru ve yeterlilik denetimleri sonrasında başvuruda bulunulan tarih itibari ile </w:t>
      </w: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6 ay </w:t>
      </w:r>
      <w:r w:rsidRPr="007D2F18">
        <w:rPr>
          <w:rFonts w:ascii="Times New Roman" w:hAnsi="Times New Roman" w:cs="Times New Roman"/>
          <w:sz w:val="22"/>
          <w:szCs w:val="22"/>
        </w:rPr>
        <w:t xml:space="preserve">içinde belgelendirme denetimi kabul edilmeyerek ertelenir ise müşterinin başvurusu iptal edilir. Bu durumda müşteri, fiyat teklifinde belirtilen başvuru ve yeterlilik denetimi ücretlerini ödemekle yükümlüdür. </w:t>
      </w:r>
    </w:p>
    <w:p w:rsidR="00761ECA" w:rsidRPr="007D2F18" w:rsidRDefault="00761ECA" w:rsidP="00541E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 xml:space="preserve">Verilmiş olan bir hizmetin, </w:t>
      </w:r>
      <w:r w:rsidR="00AB22A6" w:rsidRPr="007D2F18">
        <w:rPr>
          <w:rFonts w:ascii="Times New Roman" w:hAnsi="Times New Roman" w:cs="Times New Roman"/>
          <w:sz w:val="22"/>
          <w:szCs w:val="22"/>
        </w:rPr>
        <w:t>EuroGap Belgelendirme ve Özel Eğitim Hizmetleri</w:t>
      </w:r>
      <w:r w:rsidRPr="007D2F18">
        <w:rPr>
          <w:rFonts w:ascii="Times New Roman" w:hAnsi="Times New Roman" w:cs="Times New Roman"/>
          <w:sz w:val="22"/>
          <w:szCs w:val="22"/>
        </w:rPr>
        <w:t xml:space="preserve">’ den kaynaklanan bir hatadan dolayı tekrarlanması kararı verildiğinde; </w:t>
      </w:r>
      <w:r w:rsidR="00AB22A6" w:rsidRPr="007D2F18">
        <w:rPr>
          <w:rFonts w:ascii="Times New Roman" w:hAnsi="Times New Roman" w:cs="Times New Roman"/>
          <w:sz w:val="22"/>
          <w:szCs w:val="22"/>
        </w:rPr>
        <w:t>EuroGap Belgelendirme ve Özel Eğitim Hizmetleri</w:t>
      </w:r>
      <w:r w:rsidRPr="007D2F18">
        <w:rPr>
          <w:rFonts w:ascii="Times New Roman" w:hAnsi="Times New Roman" w:cs="Times New Roman"/>
          <w:sz w:val="22"/>
          <w:szCs w:val="22"/>
        </w:rPr>
        <w:t xml:space="preserve"> tekrarlayacağı hizmet için ek bir ücret talep etmez.</w:t>
      </w: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</w:rPr>
      </w:pP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 xml:space="preserve">3.4. Değişiklikler </w:t>
      </w: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sz w:val="22"/>
          <w:szCs w:val="22"/>
        </w:rPr>
        <w:t xml:space="preserve">Bu talimatta gerçekleştirilen değişiklikler, değişiklikten önceki kazanılmış haklar geçerli olmak kaydı ile uygulamadaki değişiklik tarihi esas alınarak </w:t>
      </w:r>
      <w:r w:rsidR="00AB22A6" w:rsidRPr="007D2F18">
        <w:rPr>
          <w:rFonts w:ascii="Times New Roman" w:hAnsi="Times New Roman" w:cs="Times New Roman"/>
          <w:sz w:val="22"/>
          <w:szCs w:val="22"/>
        </w:rPr>
        <w:t>EuroGap Belgelendirme ve Özel Eğitim Hizmetleri</w:t>
      </w:r>
      <w:r w:rsidRPr="007D2F18">
        <w:rPr>
          <w:rFonts w:ascii="Times New Roman" w:hAnsi="Times New Roman" w:cs="Times New Roman"/>
          <w:sz w:val="22"/>
          <w:szCs w:val="22"/>
        </w:rPr>
        <w:t xml:space="preserve"> web sayfasında yayınlanır. Ayrıca belgeli müşterilere de web sitesinden yayınlanarak duyurulur. </w:t>
      </w:r>
    </w:p>
    <w:p w:rsidR="00761ECA" w:rsidRPr="007D2F18" w:rsidRDefault="00761ECA" w:rsidP="00761EC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30129" w:rsidRPr="007D2F18" w:rsidRDefault="00761ECA" w:rsidP="0003012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7D2F18">
        <w:rPr>
          <w:rFonts w:ascii="Times New Roman" w:hAnsi="Times New Roman" w:cs="Times New Roman"/>
          <w:b/>
          <w:bCs/>
          <w:sz w:val="22"/>
          <w:szCs w:val="22"/>
        </w:rPr>
        <w:t>4.0. KAYITLAR</w:t>
      </w:r>
    </w:p>
    <w:p w:rsidR="00612188" w:rsidRPr="007D2F18" w:rsidRDefault="00030129" w:rsidP="0003012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2F18">
        <w:rPr>
          <w:rFonts w:ascii="Times New Roman" w:hAnsi="Times New Roman" w:cs="Times New Roman"/>
          <w:bCs/>
          <w:sz w:val="22"/>
          <w:szCs w:val="22"/>
        </w:rPr>
        <w:t>PR.013 AGREGA BELGELENDİRME PROSEDÜRÜ</w:t>
      </w:r>
    </w:p>
    <w:p w:rsidR="00612188" w:rsidRPr="007D2F18" w:rsidRDefault="00612188" w:rsidP="007468AD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:rsidR="00612188" w:rsidRPr="007D2F18" w:rsidRDefault="00612188" w:rsidP="007468AD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:rsidR="00612188" w:rsidRPr="007D2F18" w:rsidRDefault="00612188" w:rsidP="007468AD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:rsidR="007468AD" w:rsidRPr="007D2F18" w:rsidRDefault="007468AD" w:rsidP="007468AD">
      <w:pPr>
        <w:spacing w:line="360" w:lineRule="auto"/>
        <w:ind w:left="709" w:right="152"/>
        <w:jc w:val="center"/>
        <w:rPr>
          <w:b/>
          <w:sz w:val="22"/>
          <w:szCs w:val="22"/>
        </w:rPr>
      </w:pPr>
      <w:r w:rsidRPr="007D2F18">
        <w:rPr>
          <w:b/>
          <w:sz w:val="22"/>
          <w:szCs w:val="22"/>
        </w:rPr>
        <w:t>REVİZYON SAYFASI</w:t>
      </w:r>
    </w:p>
    <w:p w:rsidR="007468AD" w:rsidRPr="007D2F18" w:rsidRDefault="007468AD" w:rsidP="007468AD">
      <w:pPr>
        <w:ind w:left="36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="783" w:tblpYSpec="cent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310"/>
        <w:gridCol w:w="5069"/>
      </w:tblGrid>
      <w:tr w:rsidR="007468AD" w:rsidRPr="007D2F18" w:rsidTr="00E11BD0">
        <w:trPr>
          <w:trHeight w:val="557"/>
        </w:trPr>
        <w:tc>
          <w:tcPr>
            <w:tcW w:w="1809" w:type="dxa"/>
            <w:vAlign w:val="center"/>
          </w:tcPr>
          <w:p w:rsidR="007468AD" w:rsidRPr="007D2F18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7D2F18">
              <w:rPr>
                <w:b/>
                <w:sz w:val="22"/>
                <w:szCs w:val="22"/>
              </w:rPr>
              <w:t xml:space="preserve">REVİZYON </w:t>
            </w:r>
          </w:p>
          <w:p w:rsidR="007468AD" w:rsidRPr="007D2F18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7D2F18">
              <w:rPr>
                <w:b/>
                <w:sz w:val="22"/>
                <w:szCs w:val="22"/>
              </w:rPr>
              <w:t>TARİHİ</w:t>
            </w:r>
          </w:p>
        </w:tc>
        <w:tc>
          <w:tcPr>
            <w:tcW w:w="1134" w:type="dxa"/>
            <w:vAlign w:val="center"/>
          </w:tcPr>
          <w:p w:rsidR="007468AD" w:rsidRPr="007D2F18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7D2F18">
              <w:rPr>
                <w:b/>
                <w:sz w:val="22"/>
                <w:szCs w:val="22"/>
              </w:rPr>
              <w:t>REV.</w:t>
            </w:r>
          </w:p>
          <w:p w:rsidR="007468AD" w:rsidRPr="007D2F18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7D2F18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310" w:type="dxa"/>
            <w:vAlign w:val="center"/>
          </w:tcPr>
          <w:p w:rsidR="007468AD" w:rsidRPr="007D2F18" w:rsidRDefault="007468AD" w:rsidP="001A74CA">
            <w:pPr>
              <w:jc w:val="center"/>
              <w:rPr>
                <w:b/>
                <w:sz w:val="22"/>
                <w:szCs w:val="22"/>
              </w:rPr>
            </w:pPr>
            <w:r w:rsidRPr="007D2F18">
              <w:rPr>
                <w:b/>
                <w:sz w:val="22"/>
                <w:szCs w:val="22"/>
              </w:rPr>
              <w:t>MADDE NO</w:t>
            </w:r>
          </w:p>
        </w:tc>
        <w:tc>
          <w:tcPr>
            <w:tcW w:w="5069" w:type="dxa"/>
            <w:vAlign w:val="center"/>
          </w:tcPr>
          <w:p w:rsidR="007468AD" w:rsidRPr="007D2F18" w:rsidRDefault="007468AD" w:rsidP="001A74CA">
            <w:pPr>
              <w:ind w:left="35"/>
              <w:jc w:val="center"/>
              <w:rPr>
                <w:b/>
                <w:sz w:val="22"/>
                <w:szCs w:val="22"/>
              </w:rPr>
            </w:pPr>
            <w:r w:rsidRPr="007D2F18">
              <w:rPr>
                <w:b/>
                <w:sz w:val="22"/>
                <w:szCs w:val="22"/>
              </w:rPr>
              <w:t>YAPILAN REVİZYONUN AÇIKLANMASI</w:t>
            </w:r>
          </w:p>
        </w:tc>
      </w:tr>
      <w:tr w:rsidR="00FD6B47" w:rsidRPr="007D2F18" w:rsidTr="00E11BD0">
        <w:trPr>
          <w:trHeight w:val="836"/>
        </w:trPr>
        <w:tc>
          <w:tcPr>
            <w:tcW w:w="1809" w:type="dxa"/>
            <w:vAlign w:val="center"/>
          </w:tcPr>
          <w:p w:rsidR="00FD6B47" w:rsidRPr="007D2F18" w:rsidRDefault="00FD6B47" w:rsidP="00FD6B47">
            <w:pPr>
              <w:rPr>
                <w:sz w:val="20"/>
              </w:rPr>
            </w:pPr>
            <w:r w:rsidRPr="007D2F18">
              <w:rPr>
                <w:sz w:val="20"/>
              </w:rPr>
              <w:t>31.12.2016</w:t>
            </w:r>
          </w:p>
        </w:tc>
        <w:tc>
          <w:tcPr>
            <w:tcW w:w="1134" w:type="dxa"/>
            <w:vAlign w:val="center"/>
          </w:tcPr>
          <w:p w:rsidR="00FD6B47" w:rsidRPr="007D2F18" w:rsidRDefault="00FD6B47" w:rsidP="00FD6B47">
            <w:pPr>
              <w:rPr>
                <w:sz w:val="20"/>
              </w:rPr>
            </w:pPr>
            <w:r w:rsidRPr="007D2F18">
              <w:rPr>
                <w:sz w:val="20"/>
              </w:rPr>
              <w:t>00</w:t>
            </w:r>
          </w:p>
        </w:tc>
        <w:tc>
          <w:tcPr>
            <w:tcW w:w="1310" w:type="dxa"/>
            <w:vAlign w:val="center"/>
          </w:tcPr>
          <w:p w:rsidR="00FD6B47" w:rsidRPr="007D2F18" w:rsidRDefault="00FD6B47" w:rsidP="00FD6B47">
            <w:pPr>
              <w:rPr>
                <w:sz w:val="20"/>
              </w:rPr>
            </w:pPr>
            <w:r w:rsidRPr="007D2F18">
              <w:rPr>
                <w:sz w:val="20"/>
              </w:rPr>
              <w:t>Genel</w:t>
            </w:r>
          </w:p>
        </w:tc>
        <w:tc>
          <w:tcPr>
            <w:tcW w:w="5069" w:type="dxa"/>
            <w:vAlign w:val="center"/>
          </w:tcPr>
          <w:p w:rsidR="00FD6B47" w:rsidRPr="007D2F18" w:rsidRDefault="00FD6B47" w:rsidP="00FD6B47">
            <w:pPr>
              <w:rPr>
                <w:sz w:val="20"/>
              </w:rPr>
            </w:pPr>
            <w:r w:rsidRPr="007D2F18">
              <w:rPr>
                <w:sz w:val="18"/>
              </w:rPr>
              <w:t>EuroGap Belgelendirme olarak tüm Ürün Belgelendirme Dokümanları Rev:00 olarak düzenlenmiştir.</w:t>
            </w:r>
          </w:p>
        </w:tc>
      </w:tr>
      <w:tr w:rsidR="007468AD" w:rsidRPr="007D2F18" w:rsidTr="00E11BD0">
        <w:trPr>
          <w:trHeight w:val="707"/>
        </w:trPr>
        <w:tc>
          <w:tcPr>
            <w:tcW w:w="1809" w:type="dxa"/>
            <w:vAlign w:val="center"/>
          </w:tcPr>
          <w:p w:rsidR="007468AD" w:rsidRPr="007D2F18" w:rsidRDefault="007468AD" w:rsidP="001A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468AD" w:rsidRPr="007D2F18" w:rsidRDefault="007468AD" w:rsidP="001A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7468AD" w:rsidRPr="007D2F18" w:rsidRDefault="007468AD" w:rsidP="001A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9" w:type="dxa"/>
            <w:vAlign w:val="center"/>
          </w:tcPr>
          <w:p w:rsidR="007468AD" w:rsidRPr="007D2F18" w:rsidRDefault="007468AD" w:rsidP="001A74CA">
            <w:pPr>
              <w:rPr>
                <w:sz w:val="20"/>
                <w:szCs w:val="20"/>
              </w:rPr>
            </w:pPr>
          </w:p>
        </w:tc>
      </w:tr>
      <w:tr w:rsidR="007468AD" w:rsidRPr="007D2F18" w:rsidTr="00E11BD0">
        <w:tc>
          <w:tcPr>
            <w:tcW w:w="1809" w:type="dxa"/>
          </w:tcPr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9" w:type="dxa"/>
          </w:tcPr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  <w:p w:rsidR="007468AD" w:rsidRPr="007D2F18" w:rsidRDefault="007468AD" w:rsidP="001A74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D720D" w:rsidRPr="007D2F18" w:rsidRDefault="007D720D" w:rsidP="00761ECA">
      <w:pPr>
        <w:rPr>
          <w:szCs w:val="22"/>
        </w:rPr>
      </w:pPr>
    </w:p>
    <w:sectPr w:rsidR="007D720D" w:rsidRPr="007D2F18" w:rsidSect="00761ECA">
      <w:headerReference w:type="default" r:id="rId7"/>
      <w:footerReference w:type="default" r:id="rId8"/>
      <w:pgSz w:w="11906" w:h="16838" w:code="9"/>
      <w:pgMar w:top="851" w:right="707" w:bottom="284" w:left="993" w:header="47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9AA" w:rsidRDefault="005359AA">
      <w:r>
        <w:separator/>
      </w:r>
    </w:p>
  </w:endnote>
  <w:endnote w:type="continuationSeparator" w:id="0">
    <w:p w:rsidR="005359AA" w:rsidRDefault="0053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55"/>
      <w:gridCol w:w="4956"/>
    </w:tblGrid>
    <w:tr w:rsidR="00CF0D89" w:rsidRPr="00CF0D89" w:rsidTr="00761ECA">
      <w:trPr>
        <w:trHeight w:val="1250"/>
        <w:jc w:val="center"/>
      </w:trPr>
      <w:tc>
        <w:tcPr>
          <w:tcW w:w="4955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>HAZIRLAYAN</w:t>
          </w:r>
        </w:p>
        <w:p w:rsidR="00CF0D89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Yönetim Temsilcisi</w:t>
          </w:r>
        </w:p>
      </w:tc>
      <w:tc>
        <w:tcPr>
          <w:tcW w:w="495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 xml:space="preserve">ONAYLAYAN </w:t>
          </w:r>
        </w:p>
        <w:p w:rsidR="00BD6D17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Genel Koordinatör</w:t>
          </w:r>
        </w:p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:rsidR="009D5D14" w:rsidRPr="00C832EF" w:rsidRDefault="00DD1A6C" w:rsidP="00CF0D89">
    <w:pPr>
      <w:pStyle w:val="AltBilgi"/>
      <w:spacing w:before="120"/>
      <w:ind w:left="709"/>
      <w:rPr>
        <w:rFonts w:ascii="Arial Narrow" w:hAnsi="Arial Narrow"/>
        <w:sz w:val="20"/>
        <w:szCs w:val="20"/>
      </w:rPr>
    </w:pPr>
    <w:r w:rsidRPr="00C832EF">
      <w:rPr>
        <w:rFonts w:ascii="Arial Narrow" w:hAnsi="Arial Narrow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9AA" w:rsidRDefault="005359AA">
      <w:r>
        <w:separator/>
      </w:r>
    </w:p>
  </w:footnote>
  <w:footnote w:type="continuationSeparator" w:id="0">
    <w:p w:rsidR="005359AA" w:rsidRDefault="0053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92"/>
      <w:gridCol w:w="709"/>
      <w:gridCol w:w="1559"/>
      <w:gridCol w:w="1559"/>
      <w:gridCol w:w="1134"/>
      <w:gridCol w:w="1418"/>
    </w:tblGrid>
    <w:tr w:rsidR="00AF4098" w:rsidRPr="001135BB" w:rsidTr="008C6C75">
      <w:trPr>
        <w:trHeight w:val="403"/>
        <w:jc w:val="center"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Default="00F06B07" w:rsidP="001135BB">
          <w:pPr>
            <w:jc w:val="center"/>
          </w:pPr>
          <w:r w:rsidRPr="0076224A">
            <w:rPr>
              <w:noProof/>
            </w:rPr>
            <w:drawing>
              <wp:inline distT="0" distB="0" distL="0" distR="0">
                <wp:extent cx="117157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F4098" w:rsidRPr="00B94931" w:rsidRDefault="00AF4098" w:rsidP="00E8797B"/>
      </w:tc>
      <w:tc>
        <w:tcPr>
          <w:tcW w:w="5953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B72025" w:rsidRDefault="00FB500F" w:rsidP="00F06B07">
          <w:pPr>
            <w:pStyle w:val="stBilgi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sz w:val="16"/>
            </w:rPr>
            <w:t xml:space="preserve">TS EN ISO/IEC 17065 </w:t>
          </w: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BC244D" w:rsidRPr="001135BB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:rsidR="00AF4098" w:rsidRPr="00CF0D89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0D89">
            <w:rPr>
              <w:rFonts w:ascii="Arial Narrow" w:hAnsi="Arial Narrow"/>
              <w:b/>
              <w:sz w:val="20"/>
              <w:szCs w:val="20"/>
            </w:rPr>
            <w:t>DOKÜMAN NO</w:t>
          </w:r>
        </w:p>
        <w:p w:rsidR="00BC244D" w:rsidRPr="00CF0D89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  <w:p w:rsidR="00BC244D" w:rsidRPr="001135BB" w:rsidRDefault="00650C07" w:rsidP="00E11BD0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>T</w:t>
          </w:r>
          <w:r w:rsidR="00DD6AE7">
            <w:rPr>
              <w:rFonts w:ascii="Arial Narrow" w:hAnsi="Arial Narrow"/>
              <w:b/>
              <w:sz w:val="20"/>
              <w:szCs w:val="20"/>
            </w:rPr>
            <w:t>L</w:t>
          </w:r>
          <w:r w:rsidR="00BF767F">
            <w:rPr>
              <w:rFonts w:ascii="Arial Narrow" w:hAnsi="Arial Narrow"/>
              <w:b/>
              <w:sz w:val="20"/>
              <w:szCs w:val="20"/>
            </w:rPr>
            <w:t>.00</w:t>
          </w:r>
          <w:r w:rsidR="00E11BD0">
            <w:rPr>
              <w:rFonts w:ascii="Arial Narrow" w:hAnsi="Arial Narrow"/>
              <w:b/>
              <w:sz w:val="20"/>
              <w:szCs w:val="20"/>
            </w:rPr>
            <w:t>9</w:t>
          </w:r>
          <w:r w:rsidR="00541E77">
            <w:rPr>
              <w:rFonts w:ascii="Arial Narrow" w:hAnsi="Arial Narrow"/>
              <w:b/>
              <w:sz w:val="20"/>
              <w:szCs w:val="20"/>
            </w:rPr>
            <w:t xml:space="preserve"> A</w:t>
          </w:r>
        </w:p>
      </w:tc>
    </w:tr>
    <w:tr w:rsidR="00AF4098" w:rsidRPr="001135BB" w:rsidTr="008C6C75">
      <w:trPr>
        <w:trHeight w:val="424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9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9D5D14">
          <w:pPr>
            <w:pStyle w:val="stBilgi"/>
            <w:rPr>
              <w:rFonts w:ascii="Arial Narrow" w:hAnsi="Arial Narrow"/>
              <w:b/>
              <w:sz w:val="20"/>
              <w:szCs w:val="20"/>
            </w:rPr>
          </w:pPr>
          <w:r w:rsidRPr="001135BB">
            <w:rPr>
              <w:rFonts w:ascii="Arial Narrow" w:hAnsi="Arial Narrow"/>
              <w:b/>
              <w:sz w:val="20"/>
              <w:szCs w:val="20"/>
            </w:rPr>
            <w:t xml:space="preserve">KONU </w:t>
          </w:r>
        </w:p>
      </w:tc>
      <w:tc>
        <w:tcPr>
          <w:tcW w:w="496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41E77" w:rsidRPr="001135BB" w:rsidRDefault="00541E77" w:rsidP="007809DE">
          <w:pPr>
            <w:pStyle w:val="stBilgi"/>
            <w:rPr>
              <w:rFonts w:ascii="Arial Narrow" w:hAnsi="Arial Narrow"/>
              <w:sz w:val="20"/>
              <w:szCs w:val="20"/>
            </w:rPr>
          </w:pPr>
          <w:r w:rsidRPr="00541E77">
            <w:rPr>
              <w:rFonts w:ascii="Arial Narrow" w:hAnsi="Arial Narrow"/>
              <w:sz w:val="20"/>
              <w:szCs w:val="20"/>
            </w:rPr>
            <w:t>AGREGA ÜCRETLENDİRME TALİMATI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:rsidTr="008C6C75">
      <w:trPr>
        <w:trHeight w:val="290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No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Tarihi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Yürürlük Tarihi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 xml:space="preserve">Sayfa 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8C6C75" w:rsidRPr="001135BB" w:rsidTr="008C6C75">
      <w:trPr>
        <w:trHeight w:val="266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C6C75" w:rsidRPr="001135BB" w:rsidRDefault="008C6C75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Default="00787829">
          <w:pPr>
            <w:pStyle w:val="s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Default="008C6C75" w:rsidP="00787829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Pr="001135BB" w:rsidRDefault="00030129" w:rsidP="00B72025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sz w:val="16"/>
              <w:szCs w:val="16"/>
            </w:rPr>
            <w:t>31.12.2016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Pr="001135BB" w:rsidRDefault="00EF7AD4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="008C6C75"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PAGE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7D2F18">
            <w:rPr>
              <w:rStyle w:val="SayfaNumaras"/>
              <w:rFonts w:ascii="Arial Narrow" w:hAnsi="Arial Narrow"/>
              <w:noProof/>
              <w:sz w:val="16"/>
              <w:szCs w:val="16"/>
            </w:rPr>
            <w:t>2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  <w:r w:rsidR="008C6C75" w:rsidRPr="001135BB">
            <w:rPr>
              <w:rStyle w:val="SayfaNumaras"/>
              <w:rFonts w:ascii="Arial Narrow" w:hAnsi="Arial Narrow"/>
              <w:sz w:val="16"/>
              <w:szCs w:val="16"/>
            </w:rPr>
            <w:t>/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="008C6C75"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7D2F18">
            <w:rPr>
              <w:rStyle w:val="SayfaNumaras"/>
              <w:rFonts w:ascii="Arial Narrow" w:hAnsi="Arial Narrow"/>
              <w:noProof/>
              <w:sz w:val="16"/>
              <w:szCs w:val="16"/>
            </w:rPr>
            <w:t>3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41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C6C75" w:rsidRPr="001135BB" w:rsidRDefault="008C6C75">
          <w:pPr>
            <w:pStyle w:val="stBilgi"/>
            <w:rPr>
              <w:rFonts w:ascii="Arial Narrow" w:hAnsi="Arial Narrow"/>
            </w:rPr>
          </w:pPr>
        </w:p>
      </w:tc>
    </w:tr>
  </w:tbl>
  <w:p w:rsidR="009D5D14" w:rsidRPr="009D5D14" w:rsidRDefault="009D5D14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1D0"/>
    <w:multiLevelType w:val="multilevel"/>
    <w:tmpl w:val="270A13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6" w:hanging="72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1791C05"/>
    <w:multiLevelType w:val="multilevel"/>
    <w:tmpl w:val="C42A0B98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9B30E5"/>
    <w:multiLevelType w:val="multilevel"/>
    <w:tmpl w:val="392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B0C1A"/>
    <w:multiLevelType w:val="hybridMultilevel"/>
    <w:tmpl w:val="501EFB74"/>
    <w:lvl w:ilvl="0" w:tplc="B9EE8344">
      <w:start w:val="875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042" w:hanging="360"/>
      </w:pPr>
    </w:lvl>
    <w:lvl w:ilvl="2" w:tplc="041F001B" w:tentative="1">
      <w:start w:val="1"/>
      <w:numFmt w:val="lowerRoman"/>
      <w:lvlText w:val="%3."/>
      <w:lvlJc w:val="right"/>
      <w:pPr>
        <w:ind w:left="6762" w:hanging="180"/>
      </w:pPr>
    </w:lvl>
    <w:lvl w:ilvl="3" w:tplc="041F000F" w:tentative="1">
      <w:start w:val="1"/>
      <w:numFmt w:val="decimal"/>
      <w:lvlText w:val="%4."/>
      <w:lvlJc w:val="left"/>
      <w:pPr>
        <w:ind w:left="7482" w:hanging="360"/>
      </w:pPr>
    </w:lvl>
    <w:lvl w:ilvl="4" w:tplc="041F0019" w:tentative="1">
      <w:start w:val="1"/>
      <w:numFmt w:val="lowerLetter"/>
      <w:lvlText w:val="%5."/>
      <w:lvlJc w:val="left"/>
      <w:pPr>
        <w:ind w:left="8202" w:hanging="360"/>
      </w:pPr>
    </w:lvl>
    <w:lvl w:ilvl="5" w:tplc="041F001B" w:tentative="1">
      <w:start w:val="1"/>
      <w:numFmt w:val="lowerRoman"/>
      <w:lvlText w:val="%6."/>
      <w:lvlJc w:val="right"/>
      <w:pPr>
        <w:ind w:left="8922" w:hanging="180"/>
      </w:pPr>
    </w:lvl>
    <w:lvl w:ilvl="6" w:tplc="041F000F" w:tentative="1">
      <w:start w:val="1"/>
      <w:numFmt w:val="decimal"/>
      <w:lvlText w:val="%7."/>
      <w:lvlJc w:val="left"/>
      <w:pPr>
        <w:ind w:left="9642" w:hanging="360"/>
      </w:pPr>
    </w:lvl>
    <w:lvl w:ilvl="7" w:tplc="041F0019" w:tentative="1">
      <w:start w:val="1"/>
      <w:numFmt w:val="lowerLetter"/>
      <w:lvlText w:val="%8."/>
      <w:lvlJc w:val="left"/>
      <w:pPr>
        <w:ind w:left="10362" w:hanging="360"/>
      </w:pPr>
    </w:lvl>
    <w:lvl w:ilvl="8" w:tplc="041F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0892716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0CA70EC8"/>
    <w:multiLevelType w:val="hybridMultilevel"/>
    <w:tmpl w:val="94A0672A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FE2667"/>
    <w:multiLevelType w:val="hybridMultilevel"/>
    <w:tmpl w:val="059A2C4E"/>
    <w:lvl w:ilvl="0" w:tplc="8FFC5260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3BA7E7E"/>
    <w:multiLevelType w:val="multilevel"/>
    <w:tmpl w:val="EF785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45358BF"/>
    <w:multiLevelType w:val="hybridMultilevel"/>
    <w:tmpl w:val="C3F8A9A8"/>
    <w:lvl w:ilvl="0" w:tplc="8FFC5260">
      <w:start w:val="1"/>
      <w:numFmt w:val="decimal"/>
      <w:lvlText w:val="%1."/>
      <w:lvlJc w:val="left"/>
      <w:pPr>
        <w:ind w:left="46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" w15:restartNumberingAfterBreak="0">
    <w:nsid w:val="15081B6F"/>
    <w:multiLevelType w:val="hybridMultilevel"/>
    <w:tmpl w:val="6F8A7928"/>
    <w:lvl w:ilvl="0" w:tplc="7DDE3B7C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932E18"/>
    <w:multiLevelType w:val="hybridMultilevel"/>
    <w:tmpl w:val="F4A87F5A"/>
    <w:lvl w:ilvl="0" w:tplc="041F0019">
      <w:start w:val="1"/>
      <w:numFmt w:val="low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6FA37A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DE06318"/>
    <w:multiLevelType w:val="multilevel"/>
    <w:tmpl w:val="D99E41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3941626"/>
    <w:multiLevelType w:val="hybridMultilevel"/>
    <w:tmpl w:val="FD46112E"/>
    <w:lvl w:ilvl="0" w:tplc="BCFA511C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6823BC"/>
    <w:multiLevelType w:val="hybridMultilevel"/>
    <w:tmpl w:val="F300087A"/>
    <w:lvl w:ilvl="0" w:tplc="6CE27F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8" w:hanging="360"/>
      </w:pPr>
    </w:lvl>
    <w:lvl w:ilvl="2" w:tplc="041F001B">
      <w:start w:val="1"/>
      <w:numFmt w:val="lowerRoman"/>
      <w:lvlText w:val="%3."/>
      <w:lvlJc w:val="right"/>
      <w:pPr>
        <w:ind w:left="3218" w:hanging="180"/>
      </w:pPr>
    </w:lvl>
    <w:lvl w:ilvl="3" w:tplc="041F000F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8B67A1F"/>
    <w:multiLevelType w:val="hybridMultilevel"/>
    <w:tmpl w:val="770ED224"/>
    <w:lvl w:ilvl="0" w:tplc="842AC05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8DF1C59"/>
    <w:multiLevelType w:val="hybridMultilevel"/>
    <w:tmpl w:val="AB624B96"/>
    <w:lvl w:ilvl="0" w:tplc="8FFC5260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29F013A1"/>
    <w:multiLevelType w:val="hybridMultilevel"/>
    <w:tmpl w:val="6D303E08"/>
    <w:lvl w:ilvl="0" w:tplc="041F0017">
      <w:start w:val="1"/>
      <w:numFmt w:val="lowerLetter"/>
      <w:lvlText w:val="%1)"/>
      <w:lvlJc w:val="left"/>
      <w:pPr>
        <w:ind w:left="2856" w:hanging="360"/>
      </w:p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 w:tentative="1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 w15:restartNumberingAfterBreak="0">
    <w:nsid w:val="36D54B1E"/>
    <w:multiLevelType w:val="multilevel"/>
    <w:tmpl w:val="FA30C168"/>
    <w:lvl w:ilvl="0">
      <w:start w:val="1"/>
      <w:numFmt w:val="decimal"/>
      <w:lvlText w:val="%1.0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1440"/>
      </w:pPr>
      <w:rPr>
        <w:rFonts w:hint="default"/>
      </w:rPr>
    </w:lvl>
  </w:abstractNum>
  <w:abstractNum w:abstractNumId="19" w15:restartNumberingAfterBreak="0">
    <w:nsid w:val="39BD4AE4"/>
    <w:multiLevelType w:val="hybridMultilevel"/>
    <w:tmpl w:val="FC169988"/>
    <w:lvl w:ilvl="0" w:tplc="956E4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2018A"/>
    <w:multiLevelType w:val="hybridMultilevel"/>
    <w:tmpl w:val="585672A6"/>
    <w:lvl w:ilvl="0" w:tplc="23D6399A">
      <w:start w:val="875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1" w15:restartNumberingAfterBreak="0">
    <w:nsid w:val="55F7372B"/>
    <w:multiLevelType w:val="hybridMultilevel"/>
    <w:tmpl w:val="FC5275F8"/>
    <w:lvl w:ilvl="0" w:tplc="8B5CE6D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B9529A3"/>
    <w:multiLevelType w:val="hybridMultilevel"/>
    <w:tmpl w:val="3AD6B00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F214B"/>
    <w:multiLevelType w:val="multilevel"/>
    <w:tmpl w:val="30A8F9B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3E64081"/>
    <w:multiLevelType w:val="hybridMultilevel"/>
    <w:tmpl w:val="40FA3A6C"/>
    <w:lvl w:ilvl="0" w:tplc="B55888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4601"/>
    <w:multiLevelType w:val="hybridMultilevel"/>
    <w:tmpl w:val="8ED4C918"/>
    <w:lvl w:ilvl="0" w:tplc="041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753C96"/>
    <w:multiLevelType w:val="hybridMultilevel"/>
    <w:tmpl w:val="900CA6E0"/>
    <w:lvl w:ilvl="0" w:tplc="1FEABB9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969AF"/>
    <w:multiLevelType w:val="hybridMultilevel"/>
    <w:tmpl w:val="B3622E0E"/>
    <w:lvl w:ilvl="0" w:tplc="0E2873F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6462397"/>
    <w:multiLevelType w:val="hybridMultilevel"/>
    <w:tmpl w:val="2D1AC8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E7D"/>
    <w:multiLevelType w:val="hybridMultilevel"/>
    <w:tmpl w:val="DF5EDB94"/>
    <w:lvl w:ilvl="0" w:tplc="041F0011">
      <w:start w:val="1"/>
      <w:numFmt w:val="decimal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"/>
  </w:num>
  <w:num w:numId="5">
    <w:abstractNumId w:val="23"/>
  </w:num>
  <w:num w:numId="6">
    <w:abstractNumId w:val="24"/>
  </w:num>
  <w:num w:numId="7">
    <w:abstractNumId w:val="19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17"/>
  </w:num>
  <w:num w:numId="13">
    <w:abstractNumId w:val="2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8"/>
  </w:num>
  <w:num w:numId="21">
    <w:abstractNumId w:val="6"/>
  </w:num>
  <w:num w:numId="22">
    <w:abstractNumId w:val="11"/>
  </w:num>
  <w:num w:numId="23">
    <w:abstractNumId w:val="21"/>
  </w:num>
  <w:num w:numId="24">
    <w:abstractNumId w:val="9"/>
  </w:num>
  <w:num w:numId="25">
    <w:abstractNumId w:val="25"/>
  </w:num>
  <w:num w:numId="26">
    <w:abstractNumId w:val="27"/>
  </w:num>
  <w:num w:numId="27">
    <w:abstractNumId w:val="14"/>
  </w:num>
  <w:num w:numId="28">
    <w:abstractNumId w:val="20"/>
  </w:num>
  <w:num w:numId="29">
    <w:abstractNumId w:val="26"/>
  </w:num>
  <w:num w:numId="30">
    <w:abstractNumId w:val="3"/>
  </w:num>
  <w:num w:numId="31">
    <w:abstractNumId w:val="1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D14"/>
    <w:rsid w:val="000144C8"/>
    <w:rsid w:val="00017391"/>
    <w:rsid w:val="00020706"/>
    <w:rsid w:val="00030129"/>
    <w:rsid w:val="00042DA0"/>
    <w:rsid w:val="00056D0A"/>
    <w:rsid w:val="00061103"/>
    <w:rsid w:val="00077813"/>
    <w:rsid w:val="00085ECE"/>
    <w:rsid w:val="000971B5"/>
    <w:rsid w:val="000B7895"/>
    <w:rsid w:val="000C616D"/>
    <w:rsid w:val="000D4AC1"/>
    <w:rsid w:val="000E5E64"/>
    <w:rsid w:val="000E727D"/>
    <w:rsid w:val="000F051F"/>
    <w:rsid w:val="000F2E5E"/>
    <w:rsid w:val="000F315E"/>
    <w:rsid w:val="00107B0B"/>
    <w:rsid w:val="001135BB"/>
    <w:rsid w:val="00133DBA"/>
    <w:rsid w:val="0014363A"/>
    <w:rsid w:val="00143BA7"/>
    <w:rsid w:val="00150392"/>
    <w:rsid w:val="0015595A"/>
    <w:rsid w:val="00157B4D"/>
    <w:rsid w:val="00160CAE"/>
    <w:rsid w:val="00170F0A"/>
    <w:rsid w:val="00171773"/>
    <w:rsid w:val="001734B3"/>
    <w:rsid w:val="001A74CA"/>
    <w:rsid w:val="001C3A39"/>
    <w:rsid w:val="001D7721"/>
    <w:rsid w:val="001E11D0"/>
    <w:rsid w:val="001E4463"/>
    <w:rsid w:val="001E7F8F"/>
    <w:rsid w:val="00213E74"/>
    <w:rsid w:val="00221C56"/>
    <w:rsid w:val="00230CEF"/>
    <w:rsid w:val="00241AB6"/>
    <w:rsid w:val="00242CCB"/>
    <w:rsid w:val="0025698B"/>
    <w:rsid w:val="0026593C"/>
    <w:rsid w:val="00266F25"/>
    <w:rsid w:val="0028177F"/>
    <w:rsid w:val="002842AC"/>
    <w:rsid w:val="002849B8"/>
    <w:rsid w:val="002A4C55"/>
    <w:rsid w:val="002B6C59"/>
    <w:rsid w:val="002C6F1C"/>
    <w:rsid w:val="00301390"/>
    <w:rsid w:val="003061CA"/>
    <w:rsid w:val="003200F9"/>
    <w:rsid w:val="00334758"/>
    <w:rsid w:val="00362AAA"/>
    <w:rsid w:val="00365888"/>
    <w:rsid w:val="0037041E"/>
    <w:rsid w:val="00370661"/>
    <w:rsid w:val="00380512"/>
    <w:rsid w:val="003A29A6"/>
    <w:rsid w:val="003B3F04"/>
    <w:rsid w:val="003C029B"/>
    <w:rsid w:val="003E4527"/>
    <w:rsid w:val="003F1698"/>
    <w:rsid w:val="003F5903"/>
    <w:rsid w:val="00450D47"/>
    <w:rsid w:val="00454E16"/>
    <w:rsid w:val="004640A8"/>
    <w:rsid w:val="00467CF8"/>
    <w:rsid w:val="00491892"/>
    <w:rsid w:val="00494BDD"/>
    <w:rsid w:val="00495711"/>
    <w:rsid w:val="004A13F1"/>
    <w:rsid w:val="004A3F2D"/>
    <w:rsid w:val="004C0CBF"/>
    <w:rsid w:val="004C4464"/>
    <w:rsid w:val="004D048E"/>
    <w:rsid w:val="004D6EB8"/>
    <w:rsid w:val="004E30E9"/>
    <w:rsid w:val="004E73A2"/>
    <w:rsid w:val="004F627D"/>
    <w:rsid w:val="00501285"/>
    <w:rsid w:val="005122E7"/>
    <w:rsid w:val="0052541E"/>
    <w:rsid w:val="005359AA"/>
    <w:rsid w:val="00541E77"/>
    <w:rsid w:val="005824AD"/>
    <w:rsid w:val="005828A9"/>
    <w:rsid w:val="0058320D"/>
    <w:rsid w:val="0058487B"/>
    <w:rsid w:val="005D0BD6"/>
    <w:rsid w:val="005D2059"/>
    <w:rsid w:val="005E07B4"/>
    <w:rsid w:val="005E3778"/>
    <w:rsid w:val="005E7CA5"/>
    <w:rsid w:val="005F7ECF"/>
    <w:rsid w:val="006026A6"/>
    <w:rsid w:val="00602D46"/>
    <w:rsid w:val="00612188"/>
    <w:rsid w:val="006222C9"/>
    <w:rsid w:val="006230E8"/>
    <w:rsid w:val="00625EEF"/>
    <w:rsid w:val="00626E82"/>
    <w:rsid w:val="006367A1"/>
    <w:rsid w:val="00642F0E"/>
    <w:rsid w:val="006466F6"/>
    <w:rsid w:val="00650C07"/>
    <w:rsid w:val="0065625A"/>
    <w:rsid w:val="00657C05"/>
    <w:rsid w:val="0067360F"/>
    <w:rsid w:val="006737DE"/>
    <w:rsid w:val="00690224"/>
    <w:rsid w:val="00690B84"/>
    <w:rsid w:val="006966DF"/>
    <w:rsid w:val="006979E1"/>
    <w:rsid w:val="006A1C5C"/>
    <w:rsid w:val="006A7A3A"/>
    <w:rsid w:val="006B219D"/>
    <w:rsid w:val="006C3ECC"/>
    <w:rsid w:val="006E647C"/>
    <w:rsid w:val="006F6B10"/>
    <w:rsid w:val="00703659"/>
    <w:rsid w:val="00704DD0"/>
    <w:rsid w:val="007061A4"/>
    <w:rsid w:val="007176D3"/>
    <w:rsid w:val="00720982"/>
    <w:rsid w:val="007468AD"/>
    <w:rsid w:val="00752FD7"/>
    <w:rsid w:val="00755297"/>
    <w:rsid w:val="00761E34"/>
    <w:rsid w:val="00761ECA"/>
    <w:rsid w:val="0078024C"/>
    <w:rsid w:val="007809DE"/>
    <w:rsid w:val="00787829"/>
    <w:rsid w:val="007932FC"/>
    <w:rsid w:val="0079434C"/>
    <w:rsid w:val="0079435E"/>
    <w:rsid w:val="007B6280"/>
    <w:rsid w:val="007D2F18"/>
    <w:rsid w:val="007D4BCC"/>
    <w:rsid w:val="007D720D"/>
    <w:rsid w:val="007E7E7E"/>
    <w:rsid w:val="00836FBF"/>
    <w:rsid w:val="00847739"/>
    <w:rsid w:val="00854EE4"/>
    <w:rsid w:val="00856C6A"/>
    <w:rsid w:val="00861ACE"/>
    <w:rsid w:val="00864C98"/>
    <w:rsid w:val="008772E8"/>
    <w:rsid w:val="008944BF"/>
    <w:rsid w:val="008A641B"/>
    <w:rsid w:val="008C63D8"/>
    <w:rsid w:val="008C6C75"/>
    <w:rsid w:val="008D6DAF"/>
    <w:rsid w:val="008E0379"/>
    <w:rsid w:val="008E0929"/>
    <w:rsid w:val="008E7880"/>
    <w:rsid w:val="00920695"/>
    <w:rsid w:val="009238FD"/>
    <w:rsid w:val="009240DC"/>
    <w:rsid w:val="00925953"/>
    <w:rsid w:val="00926C65"/>
    <w:rsid w:val="00935689"/>
    <w:rsid w:val="0095503D"/>
    <w:rsid w:val="00967A82"/>
    <w:rsid w:val="009A3E23"/>
    <w:rsid w:val="009A41D5"/>
    <w:rsid w:val="009A4FAF"/>
    <w:rsid w:val="009C0AAC"/>
    <w:rsid w:val="009C6D2C"/>
    <w:rsid w:val="009D5D14"/>
    <w:rsid w:val="009D6B71"/>
    <w:rsid w:val="00A202F4"/>
    <w:rsid w:val="00A23BBD"/>
    <w:rsid w:val="00A327ED"/>
    <w:rsid w:val="00A34868"/>
    <w:rsid w:val="00A355CC"/>
    <w:rsid w:val="00A42774"/>
    <w:rsid w:val="00A56FD9"/>
    <w:rsid w:val="00A724B6"/>
    <w:rsid w:val="00A746CA"/>
    <w:rsid w:val="00A96BDB"/>
    <w:rsid w:val="00AA1D4D"/>
    <w:rsid w:val="00AA228D"/>
    <w:rsid w:val="00AB22A6"/>
    <w:rsid w:val="00AB7C24"/>
    <w:rsid w:val="00AC2FAC"/>
    <w:rsid w:val="00AD5C50"/>
    <w:rsid w:val="00AE29DD"/>
    <w:rsid w:val="00AE5DC6"/>
    <w:rsid w:val="00AF4098"/>
    <w:rsid w:val="00AF632F"/>
    <w:rsid w:val="00B02226"/>
    <w:rsid w:val="00B03100"/>
    <w:rsid w:val="00B0463B"/>
    <w:rsid w:val="00B36979"/>
    <w:rsid w:val="00B4009F"/>
    <w:rsid w:val="00B41DA1"/>
    <w:rsid w:val="00B43158"/>
    <w:rsid w:val="00B444E8"/>
    <w:rsid w:val="00B54610"/>
    <w:rsid w:val="00B71F3B"/>
    <w:rsid w:val="00B72025"/>
    <w:rsid w:val="00B771DA"/>
    <w:rsid w:val="00B810F3"/>
    <w:rsid w:val="00B94931"/>
    <w:rsid w:val="00BA23C5"/>
    <w:rsid w:val="00BB24E8"/>
    <w:rsid w:val="00BB780B"/>
    <w:rsid w:val="00BC244D"/>
    <w:rsid w:val="00BD6D17"/>
    <w:rsid w:val="00BE31B8"/>
    <w:rsid w:val="00BF3D21"/>
    <w:rsid w:val="00BF767F"/>
    <w:rsid w:val="00C070E8"/>
    <w:rsid w:val="00C275B9"/>
    <w:rsid w:val="00C30A36"/>
    <w:rsid w:val="00C421AD"/>
    <w:rsid w:val="00C46E29"/>
    <w:rsid w:val="00C54864"/>
    <w:rsid w:val="00C63F14"/>
    <w:rsid w:val="00C832EF"/>
    <w:rsid w:val="00C853B8"/>
    <w:rsid w:val="00C95258"/>
    <w:rsid w:val="00CA054C"/>
    <w:rsid w:val="00CA3235"/>
    <w:rsid w:val="00CA348D"/>
    <w:rsid w:val="00CA4CB7"/>
    <w:rsid w:val="00CB27EE"/>
    <w:rsid w:val="00CC12FA"/>
    <w:rsid w:val="00CC5534"/>
    <w:rsid w:val="00CE4238"/>
    <w:rsid w:val="00CF0D89"/>
    <w:rsid w:val="00D0544F"/>
    <w:rsid w:val="00D16F8A"/>
    <w:rsid w:val="00D21D35"/>
    <w:rsid w:val="00D23853"/>
    <w:rsid w:val="00D50445"/>
    <w:rsid w:val="00D60A3C"/>
    <w:rsid w:val="00D67DCD"/>
    <w:rsid w:val="00D744C3"/>
    <w:rsid w:val="00D75152"/>
    <w:rsid w:val="00D82BD2"/>
    <w:rsid w:val="00D940C3"/>
    <w:rsid w:val="00D97552"/>
    <w:rsid w:val="00DA7559"/>
    <w:rsid w:val="00DA79CE"/>
    <w:rsid w:val="00DB26B8"/>
    <w:rsid w:val="00DB6492"/>
    <w:rsid w:val="00DC0DF1"/>
    <w:rsid w:val="00DD00C9"/>
    <w:rsid w:val="00DD1A6C"/>
    <w:rsid w:val="00DD6AE7"/>
    <w:rsid w:val="00DE5F8A"/>
    <w:rsid w:val="00E11BD0"/>
    <w:rsid w:val="00E218ED"/>
    <w:rsid w:val="00E45E18"/>
    <w:rsid w:val="00E5427C"/>
    <w:rsid w:val="00E54B05"/>
    <w:rsid w:val="00E602D2"/>
    <w:rsid w:val="00E74143"/>
    <w:rsid w:val="00E84684"/>
    <w:rsid w:val="00E8797B"/>
    <w:rsid w:val="00EA4755"/>
    <w:rsid w:val="00EB0F6B"/>
    <w:rsid w:val="00EC1047"/>
    <w:rsid w:val="00EC4A3C"/>
    <w:rsid w:val="00ED01A6"/>
    <w:rsid w:val="00EF27BB"/>
    <w:rsid w:val="00EF6E1A"/>
    <w:rsid w:val="00EF77D8"/>
    <w:rsid w:val="00EF7AD4"/>
    <w:rsid w:val="00F00BDA"/>
    <w:rsid w:val="00F055CB"/>
    <w:rsid w:val="00F061DF"/>
    <w:rsid w:val="00F06B07"/>
    <w:rsid w:val="00F15911"/>
    <w:rsid w:val="00F15A9E"/>
    <w:rsid w:val="00F168CA"/>
    <w:rsid w:val="00F216B3"/>
    <w:rsid w:val="00F240A0"/>
    <w:rsid w:val="00F34AF0"/>
    <w:rsid w:val="00F42EC2"/>
    <w:rsid w:val="00F73648"/>
    <w:rsid w:val="00F86DD1"/>
    <w:rsid w:val="00F87195"/>
    <w:rsid w:val="00FA42CD"/>
    <w:rsid w:val="00FB500F"/>
    <w:rsid w:val="00FB7641"/>
    <w:rsid w:val="00FC7040"/>
    <w:rsid w:val="00FD6B47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DB7EAC-8785-4B99-8619-82408B25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7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5D1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D5D1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9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34AF0"/>
  </w:style>
  <w:style w:type="paragraph" w:styleId="BalonMetni">
    <w:name w:val="Balloon Text"/>
    <w:basedOn w:val="Normal"/>
    <w:semiHidden/>
    <w:rsid w:val="00380512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6230E8"/>
    <w:rPr>
      <w:szCs w:val="20"/>
      <w:lang w:eastAsia="en-US"/>
    </w:rPr>
  </w:style>
  <w:style w:type="paragraph" w:styleId="ListeParagraf">
    <w:name w:val="List Paragraph"/>
    <w:basedOn w:val="Normal"/>
    <w:uiPriority w:val="34"/>
    <w:qFormat/>
    <w:rsid w:val="000E5E64"/>
    <w:pPr>
      <w:ind w:left="708"/>
    </w:pPr>
  </w:style>
  <w:style w:type="paragraph" w:styleId="bekMetni">
    <w:name w:val="Block Text"/>
    <w:basedOn w:val="Normal"/>
    <w:rsid w:val="00CB27EE"/>
    <w:pPr>
      <w:ind w:left="708" w:right="857"/>
    </w:pPr>
    <w:rPr>
      <w:szCs w:val="20"/>
      <w:lang w:eastAsia="en-US"/>
    </w:rPr>
  </w:style>
  <w:style w:type="character" w:customStyle="1" w:styleId="tw4winMark">
    <w:name w:val="tw4winMark"/>
    <w:rsid w:val="00CB27EE"/>
    <w:rPr>
      <w:rFonts w:ascii="Courier New" w:hAnsi="Courier New" w:cs="Courier New"/>
      <w:vanish/>
      <w:color w:val="800080"/>
      <w:vertAlign w:val="subscript"/>
    </w:rPr>
  </w:style>
  <w:style w:type="character" w:customStyle="1" w:styleId="tw4winmark0">
    <w:name w:val="tw4winmark"/>
    <w:basedOn w:val="VarsaylanParagrafYazTipi"/>
    <w:rsid w:val="00F240A0"/>
  </w:style>
  <w:style w:type="character" w:styleId="Kpr">
    <w:name w:val="Hyperlink"/>
    <w:basedOn w:val="VarsaylanParagrafYazTipi"/>
    <w:rsid w:val="00F15A9E"/>
    <w:rPr>
      <w:color w:val="0000FF"/>
      <w:u w:val="single"/>
    </w:rPr>
  </w:style>
  <w:style w:type="paragraph" w:customStyle="1" w:styleId="Default">
    <w:name w:val="Default"/>
    <w:rsid w:val="00761E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rsid w:val="008C6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ERMAKSAN MAK.SAN. ve TİC.LTD.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EuroGap</dc:creator>
  <cp:keywords/>
  <cp:lastModifiedBy>User</cp:lastModifiedBy>
  <cp:revision>16</cp:revision>
  <cp:lastPrinted>2016-02-11T11:50:00Z</cp:lastPrinted>
  <dcterms:created xsi:type="dcterms:W3CDTF">2013-12-04T13:15:00Z</dcterms:created>
  <dcterms:modified xsi:type="dcterms:W3CDTF">2017-02-13T13:21:00Z</dcterms:modified>
</cp:coreProperties>
</file>